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9082" w14:textId="39E6E123" w:rsidR="002315ED" w:rsidRPr="002315ED" w:rsidRDefault="00AD3C4B" w:rsidP="002315ED">
      <w:pPr>
        <w:jc w:val="both"/>
        <w:rPr>
          <w:rFonts w:ascii="Calibri" w:eastAsia="Calibri" w:hAnsi="Calibri"/>
          <w:b/>
          <w:bCs/>
          <w:szCs w:val="22"/>
          <w:lang w:eastAsia="en-US"/>
        </w:rPr>
      </w:pPr>
      <w:r>
        <w:rPr>
          <w:rFonts w:ascii="Calibri" w:eastAsia="Calibri" w:hAnsi="Calibri"/>
          <w:b/>
          <w:bCs/>
          <w:szCs w:val="22"/>
          <w:lang w:eastAsia="en-US"/>
        </w:rPr>
        <w:t xml:space="preserve">Nota consulta pública </w:t>
      </w:r>
      <w:r w:rsidR="00616071">
        <w:rPr>
          <w:rFonts w:ascii="Calibri" w:eastAsia="Calibri" w:hAnsi="Calibri"/>
          <w:b/>
          <w:bCs/>
          <w:szCs w:val="22"/>
          <w:lang w:eastAsia="en-US"/>
        </w:rPr>
        <w:t xml:space="preserve">sobre </w:t>
      </w:r>
      <w:r w:rsidR="006C1598">
        <w:rPr>
          <w:rFonts w:ascii="Calibri" w:eastAsia="Calibri" w:hAnsi="Calibri"/>
          <w:b/>
          <w:bCs/>
          <w:szCs w:val="22"/>
          <w:lang w:eastAsia="en-US"/>
        </w:rPr>
        <w:t>el nuevo enfoque a la seguridad contra el fuego del mobiliario doméstico tapizado</w:t>
      </w:r>
    </w:p>
    <w:p w14:paraId="017CCB6F" w14:textId="77777777" w:rsidR="002315ED" w:rsidRPr="002315ED" w:rsidRDefault="002315ED" w:rsidP="002315ED">
      <w:pPr>
        <w:jc w:val="both"/>
        <w:rPr>
          <w:rFonts w:ascii="Calibri" w:eastAsia="Calibri" w:hAnsi="Calibri"/>
          <w:szCs w:val="22"/>
          <w:lang w:eastAsia="en-US"/>
        </w:rPr>
      </w:pPr>
    </w:p>
    <w:p w14:paraId="5DA73E4D" w14:textId="0C828E36" w:rsidR="00676C95" w:rsidRDefault="006C1598" w:rsidP="00676C95">
      <w:pPr>
        <w:jc w:val="both"/>
        <w:rPr>
          <w:rFonts w:ascii="Calibri" w:eastAsia="Calibri" w:hAnsi="Calibri"/>
          <w:szCs w:val="22"/>
          <w:lang w:eastAsia="en-US"/>
        </w:rPr>
      </w:pPr>
      <w:r w:rsidRPr="006C1598">
        <w:rPr>
          <w:rFonts w:ascii="Calibri" w:eastAsia="Calibri" w:hAnsi="Calibri"/>
          <w:szCs w:val="22"/>
          <w:lang w:eastAsia="en-US"/>
        </w:rPr>
        <w:t>L</w:t>
      </w:r>
      <w:r>
        <w:rPr>
          <w:rFonts w:ascii="Calibri" w:eastAsia="Calibri" w:hAnsi="Calibri"/>
          <w:szCs w:val="22"/>
          <w:lang w:eastAsia="en-US"/>
        </w:rPr>
        <w:t>a normativa de resistencia al fuego de</w:t>
      </w:r>
      <w:r w:rsidR="00676C95">
        <w:rPr>
          <w:rFonts w:ascii="Calibri" w:eastAsia="Calibri" w:hAnsi="Calibri"/>
          <w:szCs w:val="22"/>
          <w:lang w:eastAsia="en-US"/>
        </w:rPr>
        <w:t>l mobiliario (</w:t>
      </w:r>
      <w:hyperlink r:id="rId8" w:history="1">
        <w:r w:rsidR="00676C95" w:rsidRPr="00676C95">
          <w:rPr>
            <w:rStyle w:val="Hipervnculo"/>
            <w:rFonts w:ascii="Calibri" w:eastAsia="Calibri" w:hAnsi="Calibri"/>
            <w:szCs w:val="22"/>
            <w:lang w:eastAsia="en-US"/>
          </w:rPr>
          <w:t xml:space="preserve">The </w:t>
        </w:r>
        <w:proofErr w:type="spellStart"/>
        <w:r w:rsidR="00676C95" w:rsidRPr="00676C95">
          <w:rPr>
            <w:rStyle w:val="Hipervnculo"/>
            <w:rFonts w:ascii="Calibri" w:eastAsia="Calibri" w:hAnsi="Calibri"/>
            <w:szCs w:val="22"/>
            <w:lang w:eastAsia="en-US"/>
          </w:rPr>
          <w:t>Furniture</w:t>
        </w:r>
        <w:proofErr w:type="spellEnd"/>
        <w:r w:rsidR="00676C95" w:rsidRPr="00676C95">
          <w:rPr>
            <w:rStyle w:val="Hipervnculo"/>
            <w:rFonts w:ascii="Calibri" w:eastAsia="Calibri" w:hAnsi="Calibri"/>
            <w:szCs w:val="22"/>
            <w:lang w:eastAsia="en-US"/>
          </w:rPr>
          <w:t xml:space="preserve"> and </w:t>
        </w:r>
        <w:proofErr w:type="spellStart"/>
        <w:r w:rsidR="00676C95" w:rsidRPr="00676C95">
          <w:rPr>
            <w:rStyle w:val="Hipervnculo"/>
            <w:rFonts w:ascii="Calibri" w:eastAsia="Calibri" w:hAnsi="Calibri"/>
            <w:szCs w:val="22"/>
            <w:lang w:eastAsia="en-US"/>
          </w:rPr>
          <w:t>Furnishings</w:t>
        </w:r>
        <w:proofErr w:type="spellEnd"/>
        <w:r w:rsidR="00676C95" w:rsidRPr="00676C95">
          <w:rPr>
            <w:rStyle w:val="Hipervnculo"/>
            <w:rFonts w:ascii="Calibri" w:eastAsia="Calibri" w:hAnsi="Calibri"/>
            <w:szCs w:val="22"/>
            <w:lang w:eastAsia="en-US"/>
          </w:rPr>
          <w:t xml:space="preserve"> (</w:t>
        </w:r>
        <w:proofErr w:type="spellStart"/>
        <w:r w:rsidR="00676C95" w:rsidRPr="00676C95">
          <w:rPr>
            <w:rStyle w:val="Hipervnculo"/>
            <w:rFonts w:ascii="Calibri" w:eastAsia="Calibri" w:hAnsi="Calibri"/>
            <w:szCs w:val="22"/>
            <w:lang w:eastAsia="en-US"/>
          </w:rPr>
          <w:t>Fire</w:t>
        </w:r>
        <w:proofErr w:type="spellEnd"/>
        <w:r w:rsidR="00676C95" w:rsidRPr="00676C95">
          <w:rPr>
            <w:rStyle w:val="Hipervnculo"/>
            <w:rFonts w:ascii="Calibri" w:eastAsia="Calibri" w:hAnsi="Calibri"/>
            <w:szCs w:val="22"/>
            <w:lang w:eastAsia="en-US"/>
          </w:rPr>
          <w:t>) (Safety) Regulations 1988</w:t>
        </w:r>
      </w:hyperlink>
      <w:r w:rsidR="00676C95" w:rsidRPr="00676C95">
        <w:rPr>
          <w:rFonts w:ascii="Calibri" w:eastAsia="Calibri" w:hAnsi="Calibri"/>
          <w:szCs w:val="22"/>
          <w:lang w:eastAsia="en-US"/>
        </w:rPr>
        <w:t xml:space="preserve"> </w:t>
      </w:r>
      <w:r w:rsidR="00676C95">
        <w:rPr>
          <w:rFonts w:ascii="Calibri" w:eastAsia="Calibri" w:hAnsi="Calibri"/>
          <w:szCs w:val="22"/>
          <w:lang w:eastAsia="en-US"/>
        </w:rPr>
        <w:t xml:space="preserve">– </w:t>
      </w:r>
      <w:r w:rsidRPr="006C1598">
        <w:rPr>
          <w:rFonts w:ascii="Calibri" w:eastAsia="Calibri" w:hAnsi="Calibri"/>
          <w:szCs w:val="22"/>
          <w:lang w:eastAsia="en-US"/>
        </w:rPr>
        <w:t>FFR</w:t>
      </w:r>
      <w:r w:rsidR="00676C95">
        <w:rPr>
          <w:rFonts w:ascii="Calibri" w:eastAsia="Calibri" w:hAnsi="Calibri"/>
          <w:szCs w:val="22"/>
          <w:lang w:eastAsia="en-US"/>
        </w:rPr>
        <w:t>)</w:t>
      </w:r>
      <w:r w:rsidRPr="006C1598">
        <w:rPr>
          <w:rFonts w:ascii="Calibri" w:eastAsia="Calibri" w:hAnsi="Calibri"/>
          <w:szCs w:val="22"/>
          <w:lang w:eastAsia="en-US"/>
        </w:rPr>
        <w:t xml:space="preserve"> se introduj</w:t>
      </w:r>
      <w:r w:rsidR="00676C95">
        <w:rPr>
          <w:rFonts w:ascii="Calibri" w:eastAsia="Calibri" w:hAnsi="Calibri"/>
          <w:szCs w:val="22"/>
          <w:lang w:eastAsia="en-US"/>
        </w:rPr>
        <w:t>o</w:t>
      </w:r>
      <w:r w:rsidRPr="006C1598">
        <w:rPr>
          <w:rFonts w:ascii="Calibri" w:eastAsia="Calibri" w:hAnsi="Calibri"/>
          <w:szCs w:val="22"/>
          <w:lang w:eastAsia="en-US"/>
        </w:rPr>
        <w:t xml:space="preserve"> en 1988 para ayudar a reducir el riesgo de lesiones o pérdida de vidas a causa de incendios domésticos propagados por muebles tapizados. Los productos ignífugos químicos se han utilizado tradicionalmente como medio principal para que los productos cumplan las pruebas de resistencia al fuego. Una serie de retardantes de llama químicos, en particular los retardantes de llama </w:t>
      </w:r>
      <w:proofErr w:type="gramStart"/>
      <w:r w:rsidR="00676C95" w:rsidRPr="006C1598">
        <w:rPr>
          <w:rFonts w:ascii="Calibri" w:eastAsia="Calibri" w:hAnsi="Calibri"/>
          <w:szCs w:val="22"/>
          <w:lang w:eastAsia="en-US"/>
        </w:rPr>
        <w:t>bromados</w:t>
      </w:r>
      <w:r w:rsidR="00676C95">
        <w:rPr>
          <w:rFonts w:ascii="Calibri" w:eastAsia="Calibri" w:hAnsi="Calibri"/>
          <w:szCs w:val="22"/>
          <w:lang w:eastAsia="en-US"/>
        </w:rPr>
        <w:t>,</w:t>
      </w:r>
      <w:proofErr w:type="gramEnd"/>
      <w:r w:rsidRPr="006C1598">
        <w:rPr>
          <w:rFonts w:ascii="Calibri" w:eastAsia="Calibri" w:hAnsi="Calibri"/>
          <w:szCs w:val="22"/>
          <w:lang w:eastAsia="en-US"/>
        </w:rPr>
        <w:t xml:space="preserve"> se han asociado con efectos sobre el medio ambiente y la salud y</w:t>
      </w:r>
      <w:r w:rsidR="00676C95">
        <w:rPr>
          <w:rFonts w:ascii="Calibri" w:eastAsia="Calibri" w:hAnsi="Calibri"/>
          <w:szCs w:val="22"/>
          <w:lang w:eastAsia="en-US"/>
        </w:rPr>
        <w:t xml:space="preserve"> </w:t>
      </w:r>
      <w:r w:rsidRPr="006C1598">
        <w:rPr>
          <w:rFonts w:ascii="Calibri" w:eastAsia="Calibri" w:hAnsi="Calibri"/>
          <w:szCs w:val="22"/>
          <w:lang w:eastAsia="en-US"/>
        </w:rPr>
        <w:t xml:space="preserve">han sido prohibidos o restringidos </w:t>
      </w:r>
      <w:r w:rsidR="00676C95">
        <w:rPr>
          <w:rFonts w:ascii="Calibri" w:eastAsia="Calibri" w:hAnsi="Calibri"/>
          <w:szCs w:val="22"/>
          <w:lang w:eastAsia="en-US"/>
        </w:rPr>
        <w:t xml:space="preserve">por el Reglamento </w:t>
      </w:r>
      <w:r w:rsidRPr="006C1598">
        <w:rPr>
          <w:rFonts w:ascii="Calibri" w:eastAsia="Calibri" w:hAnsi="Calibri"/>
          <w:szCs w:val="22"/>
          <w:lang w:eastAsia="en-US"/>
        </w:rPr>
        <w:t>REACH</w:t>
      </w:r>
      <w:r w:rsidR="00676C95">
        <w:rPr>
          <w:rFonts w:ascii="Calibri" w:eastAsia="Calibri" w:hAnsi="Calibri"/>
          <w:szCs w:val="22"/>
          <w:lang w:eastAsia="en-US"/>
        </w:rPr>
        <w:t>, y su versión británica UK REACH.</w:t>
      </w:r>
    </w:p>
    <w:p w14:paraId="36081687" w14:textId="77777777" w:rsidR="00676C95" w:rsidRDefault="00676C95" w:rsidP="00676C95">
      <w:pPr>
        <w:jc w:val="both"/>
        <w:rPr>
          <w:rFonts w:ascii="Calibri" w:eastAsia="Calibri" w:hAnsi="Calibri"/>
          <w:szCs w:val="22"/>
          <w:lang w:eastAsia="en-US"/>
        </w:rPr>
      </w:pPr>
    </w:p>
    <w:p w14:paraId="5B39DDEE" w14:textId="77777777" w:rsidR="00676C95" w:rsidRPr="00676C95" w:rsidRDefault="00676C95" w:rsidP="00676C95">
      <w:pPr>
        <w:jc w:val="both"/>
      </w:pPr>
      <w:r>
        <w:rPr>
          <w:rFonts w:ascii="Calibri" w:eastAsia="Calibri" w:hAnsi="Calibri"/>
          <w:szCs w:val="22"/>
          <w:lang w:eastAsia="en-US"/>
        </w:rPr>
        <w:t xml:space="preserve">Se plantean una serie de cambios a esta normativa, y para ello se abre consulta pública. </w:t>
      </w:r>
      <w:r w:rsidR="00693962">
        <w:rPr>
          <w:rFonts w:ascii="Calibri" w:eastAsia="Calibri" w:hAnsi="Calibri"/>
          <w:szCs w:val="22"/>
          <w:lang w:eastAsia="en-US"/>
        </w:rPr>
        <w:t xml:space="preserve">La consulta está abierta desde el </w:t>
      </w:r>
      <w:r>
        <w:rPr>
          <w:rFonts w:ascii="Calibri" w:eastAsia="Calibri" w:hAnsi="Calibri"/>
          <w:szCs w:val="22"/>
          <w:lang w:eastAsia="en-US"/>
        </w:rPr>
        <w:t>2 de agosto</w:t>
      </w:r>
      <w:r w:rsidR="00693962">
        <w:rPr>
          <w:rFonts w:ascii="Calibri" w:eastAsia="Calibri" w:hAnsi="Calibri"/>
          <w:szCs w:val="22"/>
          <w:lang w:eastAsia="en-US"/>
        </w:rPr>
        <w:t xml:space="preserve"> hasta el </w:t>
      </w:r>
      <w:r w:rsidR="00FE0FFB">
        <w:rPr>
          <w:rFonts w:ascii="Calibri" w:eastAsia="Calibri" w:hAnsi="Calibri"/>
          <w:szCs w:val="22"/>
          <w:lang w:eastAsia="en-US"/>
        </w:rPr>
        <w:t>2</w:t>
      </w:r>
      <w:r>
        <w:rPr>
          <w:rFonts w:ascii="Calibri" w:eastAsia="Calibri" w:hAnsi="Calibri"/>
          <w:szCs w:val="22"/>
          <w:lang w:eastAsia="en-US"/>
        </w:rPr>
        <w:t>4</w:t>
      </w:r>
      <w:r w:rsidR="00FE0FFB">
        <w:rPr>
          <w:rFonts w:ascii="Calibri" w:eastAsia="Calibri" w:hAnsi="Calibri"/>
          <w:szCs w:val="22"/>
          <w:lang w:eastAsia="en-US"/>
        </w:rPr>
        <w:t xml:space="preserve"> de </w:t>
      </w:r>
      <w:r>
        <w:rPr>
          <w:rFonts w:ascii="Calibri" w:eastAsia="Calibri" w:hAnsi="Calibri"/>
          <w:szCs w:val="22"/>
          <w:lang w:eastAsia="en-US"/>
        </w:rPr>
        <w:t xml:space="preserve">octubre </w:t>
      </w:r>
      <w:r w:rsidR="00693962">
        <w:rPr>
          <w:rFonts w:ascii="Calibri" w:eastAsia="Calibri" w:hAnsi="Calibri"/>
          <w:szCs w:val="22"/>
          <w:lang w:eastAsia="en-US"/>
        </w:rPr>
        <w:t xml:space="preserve">de 2023. Se puede acceder desde este enlace: </w:t>
      </w:r>
      <w:hyperlink r:id="rId9" w:history="1">
        <w:r w:rsidRPr="00676C95">
          <w:rPr>
            <w:rStyle w:val="Hipervnculo"/>
            <w:rFonts w:asciiTheme="minorHAnsi" w:hAnsiTheme="minorHAnsi" w:cstheme="minorHAnsi"/>
          </w:rPr>
          <w:t>https://www.gov.uk/government/consultations/smarter-regulation-fire-safety-of-domestic-upholstered-furniture</w:t>
        </w:r>
      </w:hyperlink>
      <w:r w:rsidRPr="00676C95">
        <w:t xml:space="preserve"> </w:t>
      </w:r>
    </w:p>
    <w:p w14:paraId="5C501A5D" w14:textId="77777777" w:rsidR="00676C95" w:rsidRDefault="00676C95" w:rsidP="00A776E4">
      <w:pPr>
        <w:jc w:val="both"/>
        <w:rPr>
          <w:rFonts w:ascii="Calibri" w:eastAsia="Calibri" w:hAnsi="Calibri"/>
          <w:szCs w:val="22"/>
          <w:lang w:val="en-GB" w:eastAsia="en-US"/>
        </w:rPr>
      </w:pPr>
    </w:p>
    <w:p w14:paraId="6AFEEDC1" w14:textId="2DD3C1BB" w:rsidR="00676C95" w:rsidRDefault="00676C95" w:rsidP="00676C95">
      <w:pPr>
        <w:jc w:val="both"/>
        <w:rPr>
          <w:rFonts w:ascii="Calibri" w:eastAsia="Calibri" w:hAnsi="Calibri"/>
          <w:szCs w:val="22"/>
          <w:lang w:eastAsia="en-US"/>
        </w:rPr>
      </w:pPr>
      <w:r w:rsidRPr="00676C95">
        <w:rPr>
          <w:rFonts w:ascii="Calibri" w:eastAsia="Calibri" w:hAnsi="Calibri"/>
          <w:szCs w:val="22"/>
          <w:lang w:eastAsia="en-US"/>
        </w:rPr>
        <w:t>El nuevo enfoque se aplicará en todo el Reino Unido. Los FFR son legislación nacional y no derivada de la UE y entran dentro del ámbito de los bienes no armonizados, por lo que la legislación británica se aplicará en todo el mercado interior del Reino Unido</w:t>
      </w:r>
      <w:r>
        <w:rPr>
          <w:rFonts w:ascii="Calibri" w:eastAsia="Calibri" w:hAnsi="Calibri"/>
          <w:szCs w:val="22"/>
          <w:lang w:eastAsia="en-US"/>
        </w:rPr>
        <w:t>, incluyendo las importaciones de la UE en Irlanda del Norte</w:t>
      </w:r>
      <w:r w:rsidRPr="00676C95">
        <w:rPr>
          <w:rFonts w:ascii="Calibri" w:eastAsia="Calibri" w:hAnsi="Calibri"/>
          <w:szCs w:val="22"/>
          <w:lang w:eastAsia="en-US"/>
        </w:rPr>
        <w:t>.</w:t>
      </w:r>
    </w:p>
    <w:p w14:paraId="6D4B7F03" w14:textId="77777777" w:rsidR="00491811" w:rsidRDefault="00491811" w:rsidP="00676C95">
      <w:pPr>
        <w:jc w:val="both"/>
        <w:rPr>
          <w:rFonts w:ascii="Calibri" w:eastAsia="Calibri" w:hAnsi="Calibri"/>
          <w:szCs w:val="22"/>
          <w:lang w:eastAsia="en-US"/>
        </w:rPr>
      </w:pPr>
    </w:p>
    <w:p w14:paraId="484DC99C" w14:textId="0FFAEEB5" w:rsidR="00491811" w:rsidRDefault="00491811" w:rsidP="00491811">
      <w:pPr>
        <w:jc w:val="both"/>
        <w:rPr>
          <w:rFonts w:ascii="Calibri" w:eastAsia="Calibri" w:hAnsi="Calibri"/>
          <w:szCs w:val="22"/>
          <w:lang w:eastAsia="en-US"/>
        </w:rPr>
      </w:pPr>
      <w:r>
        <w:rPr>
          <w:rFonts w:ascii="Calibri" w:eastAsia="Calibri" w:hAnsi="Calibri"/>
          <w:szCs w:val="22"/>
          <w:lang w:eastAsia="en-US"/>
        </w:rPr>
        <w:t>Se propone</w:t>
      </w:r>
      <w:r w:rsidRPr="00491811">
        <w:rPr>
          <w:rFonts w:ascii="Calibri" w:eastAsia="Calibri" w:hAnsi="Calibri"/>
          <w:szCs w:val="22"/>
          <w:lang w:eastAsia="en-US"/>
        </w:rPr>
        <w:t xml:space="preserve"> que el nuevo enfoque entre en vigor el 1 de octubre de 2024. Habrá entonces un periodo transitorio de 18 meses hasta el 1 de abril de 2026 en el </w:t>
      </w:r>
      <w:r>
        <w:rPr>
          <w:rFonts w:ascii="Calibri" w:eastAsia="Calibri" w:hAnsi="Calibri"/>
          <w:szCs w:val="22"/>
          <w:lang w:eastAsia="en-US"/>
        </w:rPr>
        <w:t>que se</w:t>
      </w:r>
      <w:r w:rsidRPr="00491811">
        <w:rPr>
          <w:rFonts w:ascii="Calibri" w:eastAsia="Calibri" w:hAnsi="Calibri"/>
          <w:szCs w:val="22"/>
          <w:lang w:eastAsia="en-US"/>
        </w:rPr>
        <w:t xml:space="preserve"> podrá seguir comercializando productos que cumplan </w:t>
      </w:r>
      <w:r>
        <w:rPr>
          <w:rFonts w:ascii="Calibri" w:eastAsia="Calibri" w:hAnsi="Calibri"/>
          <w:szCs w:val="22"/>
          <w:lang w:eastAsia="en-US"/>
        </w:rPr>
        <w:t>la normativa</w:t>
      </w:r>
      <w:r w:rsidRPr="00491811">
        <w:rPr>
          <w:rFonts w:ascii="Calibri" w:eastAsia="Calibri" w:hAnsi="Calibri"/>
          <w:szCs w:val="22"/>
          <w:lang w:eastAsia="en-US"/>
        </w:rPr>
        <w:t xml:space="preserve"> de 1988</w:t>
      </w:r>
      <w:r w:rsidRPr="00676C95">
        <w:rPr>
          <w:rFonts w:ascii="Calibri" w:eastAsia="Calibri" w:hAnsi="Calibri"/>
          <w:szCs w:val="22"/>
          <w:lang w:eastAsia="en-US"/>
        </w:rPr>
        <w:t xml:space="preserve">. </w:t>
      </w:r>
    </w:p>
    <w:p w14:paraId="3B5BB579" w14:textId="77777777" w:rsidR="00491811" w:rsidRDefault="00491811" w:rsidP="00676C95">
      <w:pPr>
        <w:jc w:val="both"/>
        <w:rPr>
          <w:rFonts w:ascii="Calibri" w:eastAsia="Calibri" w:hAnsi="Calibri"/>
          <w:szCs w:val="22"/>
          <w:lang w:eastAsia="en-US"/>
        </w:rPr>
      </w:pPr>
    </w:p>
    <w:p w14:paraId="0F1AA350" w14:textId="7FFBD3B3" w:rsidR="00693962" w:rsidRPr="00693962" w:rsidRDefault="00E66F80" w:rsidP="00A776E4">
      <w:pPr>
        <w:jc w:val="both"/>
        <w:rPr>
          <w:rFonts w:ascii="Calibri" w:eastAsia="Calibri" w:hAnsi="Calibri"/>
          <w:szCs w:val="22"/>
          <w:u w:val="single"/>
          <w:lang w:eastAsia="en-US"/>
        </w:rPr>
      </w:pPr>
      <w:r>
        <w:rPr>
          <w:rFonts w:ascii="Calibri" w:eastAsia="Calibri" w:hAnsi="Calibri"/>
          <w:szCs w:val="22"/>
          <w:u w:val="single"/>
          <w:lang w:eastAsia="en-US"/>
        </w:rPr>
        <w:t>Responsabilidades del importador</w:t>
      </w:r>
    </w:p>
    <w:p w14:paraId="79EA2CD8" w14:textId="77777777" w:rsidR="00693962" w:rsidRDefault="00693962" w:rsidP="00A776E4">
      <w:pPr>
        <w:jc w:val="both"/>
        <w:rPr>
          <w:rFonts w:ascii="Calibri" w:eastAsia="Calibri" w:hAnsi="Calibri"/>
          <w:szCs w:val="22"/>
          <w:lang w:eastAsia="en-US"/>
        </w:rPr>
      </w:pPr>
    </w:p>
    <w:p w14:paraId="6C7BD92D" w14:textId="0C3B9A45" w:rsidR="00491811" w:rsidRDefault="00491811" w:rsidP="00491811">
      <w:pPr>
        <w:jc w:val="both"/>
        <w:rPr>
          <w:rFonts w:ascii="Calibri" w:eastAsia="Calibri" w:hAnsi="Calibri"/>
          <w:szCs w:val="22"/>
          <w:lang w:eastAsia="en-US"/>
        </w:rPr>
      </w:pPr>
      <w:r w:rsidRPr="00491811">
        <w:rPr>
          <w:rFonts w:ascii="Calibri" w:eastAsia="Calibri" w:hAnsi="Calibri"/>
          <w:szCs w:val="22"/>
          <w:lang w:eastAsia="en-US"/>
        </w:rPr>
        <w:t xml:space="preserve">El nuevo enfoque se aplicará </w:t>
      </w:r>
      <w:r w:rsidR="003D2E12">
        <w:rPr>
          <w:rFonts w:ascii="Calibri" w:eastAsia="Calibri" w:hAnsi="Calibri"/>
          <w:szCs w:val="22"/>
          <w:lang w:eastAsia="en-US"/>
        </w:rPr>
        <w:t xml:space="preserve">tanto a fabricantes como importadores. Los </w:t>
      </w:r>
      <w:r w:rsidRPr="00491811">
        <w:rPr>
          <w:rFonts w:ascii="Calibri" w:eastAsia="Calibri" w:hAnsi="Calibri"/>
          <w:szCs w:val="22"/>
          <w:lang w:eastAsia="en-US"/>
        </w:rPr>
        <w:t>importador</w:t>
      </w:r>
      <w:r w:rsidR="003D2E12">
        <w:rPr>
          <w:rFonts w:ascii="Calibri" w:eastAsia="Calibri" w:hAnsi="Calibri"/>
          <w:szCs w:val="22"/>
          <w:lang w:eastAsia="en-US"/>
        </w:rPr>
        <w:t>es</w:t>
      </w:r>
      <w:r w:rsidRPr="00491811">
        <w:rPr>
          <w:rFonts w:ascii="Calibri" w:eastAsia="Calibri" w:hAnsi="Calibri"/>
          <w:szCs w:val="22"/>
          <w:lang w:eastAsia="en-US"/>
        </w:rPr>
        <w:t xml:space="preserve"> debe</w:t>
      </w:r>
      <w:r w:rsidR="003D2E12">
        <w:rPr>
          <w:rFonts w:ascii="Calibri" w:eastAsia="Calibri" w:hAnsi="Calibri"/>
          <w:szCs w:val="22"/>
          <w:lang w:eastAsia="en-US"/>
        </w:rPr>
        <w:t>n</w:t>
      </w:r>
      <w:r w:rsidRPr="00491811">
        <w:rPr>
          <w:rFonts w:ascii="Calibri" w:eastAsia="Calibri" w:hAnsi="Calibri"/>
          <w:szCs w:val="22"/>
          <w:lang w:eastAsia="en-US"/>
        </w:rPr>
        <w:t xml:space="preserve"> </w:t>
      </w:r>
      <w:r w:rsidR="003D2E12">
        <w:rPr>
          <w:rFonts w:ascii="Calibri" w:eastAsia="Calibri" w:hAnsi="Calibri"/>
          <w:szCs w:val="22"/>
          <w:lang w:eastAsia="en-US"/>
        </w:rPr>
        <w:t>a</w:t>
      </w:r>
      <w:r w:rsidRPr="00491811">
        <w:rPr>
          <w:rFonts w:ascii="Calibri" w:eastAsia="Calibri" w:hAnsi="Calibri"/>
          <w:szCs w:val="22"/>
          <w:lang w:eastAsia="en-US"/>
        </w:rPr>
        <w:t>segurarse de que el fabricante ha cumplido sus obligaciones</w:t>
      </w:r>
      <w:r w:rsidR="001B5BE4">
        <w:rPr>
          <w:rFonts w:ascii="Calibri" w:eastAsia="Calibri" w:hAnsi="Calibri"/>
          <w:szCs w:val="22"/>
          <w:lang w:eastAsia="en-US"/>
        </w:rPr>
        <w:t xml:space="preserve"> sobre</w:t>
      </w:r>
      <w:r w:rsidRPr="00491811">
        <w:rPr>
          <w:rFonts w:ascii="Calibri" w:eastAsia="Calibri" w:hAnsi="Calibri"/>
          <w:szCs w:val="22"/>
          <w:lang w:eastAsia="en-US"/>
        </w:rPr>
        <w:t xml:space="preserve"> requisitos esenciales de seguridad</w:t>
      </w:r>
      <w:r w:rsidR="003D2E12">
        <w:rPr>
          <w:rFonts w:ascii="Calibri" w:eastAsia="Calibri" w:hAnsi="Calibri"/>
          <w:szCs w:val="22"/>
          <w:lang w:eastAsia="en-US"/>
        </w:rPr>
        <w:t xml:space="preserve">, tener una copia de </w:t>
      </w:r>
      <w:r w:rsidRPr="00491811">
        <w:rPr>
          <w:rFonts w:ascii="Calibri" w:eastAsia="Calibri" w:hAnsi="Calibri"/>
          <w:szCs w:val="22"/>
          <w:lang w:eastAsia="en-US"/>
        </w:rPr>
        <w:t>la documentación técnica</w:t>
      </w:r>
      <w:r w:rsidR="003D2E12">
        <w:rPr>
          <w:rFonts w:ascii="Calibri" w:eastAsia="Calibri" w:hAnsi="Calibri"/>
          <w:szCs w:val="22"/>
          <w:lang w:eastAsia="en-US"/>
        </w:rPr>
        <w:t xml:space="preserve">, </w:t>
      </w:r>
      <w:r w:rsidR="001B5BE4">
        <w:rPr>
          <w:rFonts w:ascii="Calibri" w:eastAsia="Calibri" w:hAnsi="Calibri"/>
          <w:szCs w:val="22"/>
          <w:lang w:eastAsia="en-US"/>
        </w:rPr>
        <w:t>y comprobar</w:t>
      </w:r>
      <w:r w:rsidRPr="00491811">
        <w:rPr>
          <w:rFonts w:ascii="Calibri" w:eastAsia="Calibri" w:hAnsi="Calibri"/>
          <w:szCs w:val="22"/>
          <w:lang w:eastAsia="en-US"/>
        </w:rPr>
        <w:t xml:space="preserve"> que </w:t>
      </w:r>
      <w:r w:rsidR="001B5BE4">
        <w:rPr>
          <w:rFonts w:ascii="Calibri" w:eastAsia="Calibri" w:hAnsi="Calibri"/>
          <w:szCs w:val="22"/>
          <w:lang w:eastAsia="en-US"/>
        </w:rPr>
        <w:t>el producto cumple los requisitos de etiquetado de esta normativa.</w:t>
      </w:r>
      <w:r w:rsidR="003D2E12">
        <w:rPr>
          <w:rFonts w:ascii="Calibri" w:eastAsia="Calibri" w:hAnsi="Calibri"/>
          <w:szCs w:val="22"/>
          <w:lang w:eastAsia="en-US"/>
        </w:rPr>
        <w:t xml:space="preserve"> También debe asegurarse </w:t>
      </w:r>
      <w:r w:rsidRPr="00491811">
        <w:rPr>
          <w:rFonts w:ascii="Calibri" w:eastAsia="Calibri" w:hAnsi="Calibri"/>
          <w:szCs w:val="22"/>
          <w:lang w:eastAsia="en-US"/>
        </w:rPr>
        <w:t>de que el almacenamiento/transporte del producto no afecta a su conformidad con los requisitos esenciales de seguridad.</w:t>
      </w:r>
    </w:p>
    <w:p w14:paraId="43C860EE" w14:textId="77777777" w:rsidR="003D2E12" w:rsidRPr="00491811" w:rsidRDefault="003D2E12" w:rsidP="00491811">
      <w:pPr>
        <w:jc w:val="both"/>
        <w:rPr>
          <w:rFonts w:ascii="Calibri" w:eastAsia="Calibri" w:hAnsi="Calibri"/>
          <w:szCs w:val="22"/>
          <w:lang w:eastAsia="en-US"/>
        </w:rPr>
      </w:pPr>
    </w:p>
    <w:p w14:paraId="376EB26F" w14:textId="77777777" w:rsidR="00E66F80" w:rsidRDefault="00491811" w:rsidP="00491811">
      <w:pPr>
        <w:jc w:val="both"/>
        <w:rPr>
          <w:rFonts w:ascii="Calibri" w:eastAsia="Calibri" w:hAnsi="Calibri"/>
          <w:szCs w:val="22"/>
          <w:lang w:eastAsia="en-US"/>
        </w:rPr>
      </w:pPr>
      <w:r w:rsidRPr="00491811">
        <w:rPr>
          <w:rFonts w:ascii="Calibri" w:eastAsia="Calibri" w:hAnsi="Calibri"/>
          <w:szCs w:val="22"/>
          <w:lang w:eastAsia="en-US"/>
        </w:rPr>
        <w:t>Un importador se convertirá en fabricante y tendrá que cumplir los requisitos de un fabricante si introduce muebles en el mercado con su nombre o marca comercial o modifica muebles ya introducidos en el mercado de manera que pueda verse afectada su conformidad con los requisitos esenciales de seguridad.</w:t>
      </w:r>
    </w:p>
    <w:p w14:paraId="6287CACC" w14:textId="77777777" w:rsidR="00E66F80" w:rsidRDefault="00E66F80" w:rsidP="00491811">
      <w:pPr>
        <w:jc w:val="both"/>
        <w:rPr>
          <w:rFonts w:ascii="Calibri" w:eastAsia="Calibri" w:hAnsi="Calibri"/>
          <w:szCs w:val="22"/>
          <w:lang w:eastAsia="en-US"/>
        </w:rPr>
      </w:pPr>
    </w:p>
    <w:p w14:paraId="34F3DB44" w14:textId="77777777" w:rsidR="00496D7F" w:rsidRPr="00496D7F" w:rsidRDefault="00496D7F" w:rsidP="00496D7F">
      <w:pPr>
        <w:jc w:val="both"/>
        <w:rPr>
          <w:rFonts w:ascii="Calibri" w:eastAsia="Calibri" w:hAnsi="Calibri"/>
          <w:szCs w:val="22"/>
          <w:u w:val="single"/>
          <w:lang w:eastAsia="en-US"/>
        </w:rPr>
      </w:pPr>
      <w:r w:rsidRPr="00496D7F">
        <w:rPr>
          <w:rFonts w:ascii="Calibri" w:eastAsia="Calibri" w:hAnsi="Calibri"/>
          <w:szCs w:val="22"/>
          <w:u w:val="single"/>
          <w:lang w:eastAsia="en-US"/>
        </w:rPr>
        <w:t xml:space="preserve">Productos sujetos al nuevo </w:t>
      </w:r>
      <w:r w:rsidRPr="00496D7F">
        <w:rPr>
          <w:rFonts w:ascii="Calibri" w:eastAsia="Calibri" w:hAnsi="Calibri"/>
          <w:szCs w:val="22"/>
          <w:u w:val="single"/>
          <w:lang w:eastAsia="en-US"/>
        </w:rPr>
        <w:t>enfoque</w:t>
      </w:r>
    </w:p>
    <w:p w14:paraId="5AD3DCC3" w14:textId="77777777" w:rsidR="00496D7F" w:rsidRDefault="00496D7F" w:rsidP="00496D7F">
      <w:pPr>
        <w:jc w:val="both"/>
        <w:rPr>
          <w:rFonts w:ascii="Calibri" w:eastAsia="Calibri" w:hAnsi="Calibri"/>
          <w:szCs w:val="22"/>
          <w:lang w:eastAsia="en-US"/>
        </w:rPr>
      </w:pPr>
    </w:p>
    <w:p w14:paraId="55D8D297" w14:textId="260D59BB" w:rsidR="00496D7F" w:rsidRDefault="00496D7F" w:rsidP="00496D7F">
      <w:pPr>
        <w:jc w:val="both"/>
        <w:rPr>
          <w:rFonts w:ascii="Calibri" w:eastAsia="Calibri" w:hAnsi="Calibri"/>
          <w:szCs w:val="22"/>
          <w:lang w:eastAsia="en-US"/>
        </w:rPr>
      </w:pPr>
      <w:r>
        <w:rPr>
          <w:rFonts w:ascii="Calibri" w:eastAsia="Calibri" w:hAnsi="Calibri"/>
          <w:szCs w:val="22"/>
          <w:lang w:eastAsia="en-US"/>
        </w:rPr>
        <w:t xml:space="preserve">Se </w:t>
      </w:r>
      <w:r w:rsidRPr="00496D7F">
        <w:rPr>
          <w:rFonts w:ascii="Calibri" w:eastAsia="Calibri" w:hAnsi="Calibri"/>
          <w:szCs w:val="22"/>
          <w:lang w:eastAsia="en-US"/>
        </w:rPr>
        <w:t xml:space="preserve">aplicará a productos tapizados nuevos o de segunda mano, y </w:t>
      </w:r>
      <w:r>
        <w:rPr>
          <w:rFonts w:ascii="Calibri" w:eastAsia="Calibri" w:hAnsi="Calibri"/>
          <w:szCs w:val="22"/>
          <w:lang w:eastAsia="en-US"/>
        </w:rPr>
        <w:t>a las tapicerías</w:t>
      </w:r>
      <w:r w:rsidR="00F8704A">
        <w:rPr>
          <w:rFonts w:ascii="Calibri" w:eastAsia="Calibri" w:hAnsi="Calibri"/>
          <w:szCs w:val="22"/>
          <w:lang w:eastAsia="en-US"/>
        </w:rPr>
        <w:t xml:space="preserve">, </w:t>
      </w:r>
      <w:r w:rsidR="0063701A">
        <w:rPr>
          <w:rFonts w:ascii="Calibri" w:eastAsia="Calibri" w:hAnsi="Calibri"/>
          <w:szCs w:val="22"/>
          <w:lang w:eastAsia="en-US"/>
        </w:rPr>
        <w:t xml:space="preserve">siempre que estén </w:t>
      </w:r>
      <w:r w:rsidR="00F8704A">
        <w:rPr>
          <w:rFonts w:ascii="Calibri" w:eastAsia="Calibri" w:hAnsi="Calibri"/>
          <w:szCs w:val="22"/>
          <w:lang w:eastAsia="en-US"/>
        </w:rPr>
        <w:t>destinados a su uso en interiores.</w:t>
      </w:r>
    </w:p>
    <w:p w14:paraId="242CEA2D" w14:textId="77777777" w:rsidR="00496D7F" w:rsidRPr="00496D7F" w:rsidRDefault="00496D7F" w:rsidP="00496D7F">
      <w:pPr>
        <w:jc w:val="both"/>
        <w:rPr>
          <w:rFonts w:ascii="Calibri" w:eastAsia="Calibri" w:hAnsi="Calibri"/>
          <w:szCs w:val="22"/>
          <w:lang w:eastAsia="en-US"/>
        </w:rPr>
      </w:pPr>
    </w:p>
    <w:p w14:paraId="2DEAFCA3" w14:textId="2B8178F6" w:rsidR="00496D7F" w:rsidRDefault="00496D7F" w:rsidP="00496D7F">
      <w:pPr>
        <w:jc w:val="both"/>
        <w:rPr>
          <w:rFonts w:ascii="Calibri" w:eastAsia="Calibri" w:hAnsi="Calibri"/>
          <w:szCs w:val="22"/>
          <w:lang w:eastAsia="en-US"/>
        </w:rPr>
      </w:pPr>
      <w:r>
        <w:rPr>
          <w:rFonts w:ascii="Calibri" w:eastAsia="Calibri" w:hAnsi="Calibri"/>
          <w:szCs w:val="22"/>
          <w:lang w:eastAsia="en-US"/>
        </w:rPr>
        <w:t>El conjunto comprende</w:t>
      </w:r>
      <w:r w:rsidRPr="00496D7F">
        <w:rPr>
          <w:rFonts w:ascii="Calibri" w:eastAsia="Calibri" w:hAnsi="Calibri"/>
          <w:szCs w:val="22"/>
          <w:lang w:eastAsia="en-US"/>
        </w:rPr>
        <w:t xml:space="preserve"> artículos como sofás, sillones y somieres de diván, </w:t>
      </w:r>
      <w:r>
        <w:rPr>
          <w:rFonts w:ascii="Calibri" w:eastAsia="Calibri" w:hAnsi="Calibri"/>
          <w:szCs w:val="22"/>
          <w:lang w:eastAsia="en-US"/>
        </w:rPr>
        <w:t>pero</w:t>
      </w:r>
      <w:r w:rsidRPr="00496D7F">
        <w:rPr>
          <w:rFonts w:ascii="Calibri" w:eastAsia="Calibri" w:hAnsi="Calibri"/>
          <w:szCs w:val="22"/>
          <w:lang w:eastAsia="en-US"/>
        </w:rPr>
        <w:t xml:space="preserve"> también incorpora por primera vez artículos como colchones</w:t>
      </w:r>
      <w:r>
        <w:rPr>
          <w:rFonts w:ascii="Calibri" w:eastAsia="Calibri" w:hAnsi="Calibri"/>
          <w:szCs w:val="22"/>
          <w:lang w:eastAsia="en-US"/>
        </w:rPr>
        <w:t xml:space="preserve"> (a</w:t>
      </w:r>
      <w:r w:rsidRPr="00496D7F">
        <w:rPr>
          <w:rFonts w:ascii="Calibri" w:eastAsia="Calibri" w:hAnsi="Calibri"/>
          <w:szCs w:val="22"/>
          <w:lang w:eastAsia="en-US"/>
        </w:rPr>
        <w:t xml:space="preserve">nteriormente, sólo se consideraba </w:t>
      </w:r>
      <w:r>
        <w:rPr>
          <w:rFonts w:ascii="Calibri" w:eastAsia="Calibri" w:hAnsi="Calibri"/>
          <w:szCs w:val="22"/>
          <w:lang w:eastAsia="en-US"/>
        </w:rPr>
        <w:t xml:space="preserve">dentro del </w:t>
      </w:r>
      <w:r w:rsidRPr="00496D7F">
        <w:rPr>
          <w:rFonts w:ascii="Calibri" w:eastAsia="Calibri" w:hAnsi="Calibri"/>
          <w:szCs w:val="22"/>
          <w:lang w:eastAsia="en-US"/>
        </w:rPr>
        <w:t xml:space="preserve">ámbito de aplicación de los </w:t>
      </w:r>
      <w:r w:rsidRPr="00496D7F">
        <w:rPr>
          <w:rFonts w:ascii="Calibri" w:eastAsia="Calibri" w:hAnsi="Calibri"/>
          <w:szCs w:val="22"/>
          <w:lang w:eastAsia="en-US"/>
        </w:rPr>
        <w:t xml:space="preserve">FFR </w:t>
      </w:r>
      <w:r>
        <w:rPr>
          <w:rFonts w:ascii="Calibri" w:eastAsia="Calibri" w:hAnsi="Calibri"/>
          <w:szCs w:val="22"/>
          <w:lang w:eastAsia="en-US"/>
        </w:rPr>
        <w:t>al</w:t>
      </w:r>
      <w:r w:rsidRPr="00496D7F">
        <w:rPr>
          <w:rFonts w:ascii="Calibri" w:eastAsia="Calibri" w:hAnsi="Calibri"/>
          <w:szCs w:val="22"/>
          <w:lang w:eastAsia="en-US"/>
        </w:rPr>
        <w:t xml:space="preserve"> material de relleno de los colchones</w:t>
      </w:r>
      <w:r>
        <w:rPr>
          <w:rFonts w:ascii="Calibri" w:eastAsia="Calibri" w:hAnsi="Calibri"/>
          <w:szCs w:val="22"/>
          <w:lang w:eastAsia="en-US"/>
        </w:rPr>
        <w:t>). El texto de la consulta contiene una lista no exhaustiva de los productos afectados (página 20 del documento)</w:t>
      </w:r>
    </w:p>
    <w:p w14:paraId="05D365AA" w14:textId="77777777" w:rsidR="00496D7F" w:rsidRPr="00496D7F" w:rsidRDefault="00496D7F" w:rsidP="00496D7F">
      <w:pPr>
        <w:jc w:val="both"/>
        <w:rPr>
          <w:rFonts w:ascii="Calibri" w:eastAsia="Calibri" w:hAnsi="Calibri"/>
          <w:szCs w:val="22"/>
          <w:lang w:eastAsia="en-US"/>
        </w:rPr>
      </w:pPr>
    </w:p>
    <w:p w14:paraId="5054C3EF" w14:textId="1DE57D29" w:rsidR="00496D7F" w:rsidRDefault="00496D7F" w:rsidP="00496D7F">
      <w:pPr>
        <w:jc w:val="both"/>
        <w:rPr>
          <w:rFonts w:ascii="Calibri" w:eastAsia="Calibri" w:hAnsi="Calibri"/>
          <w:szCs w:val="22"/>
          <w:lang w:eastAsia="en-US"/>
        </w:rPr>
      </w:pPr>
      <w:r w:rsidRPr="00496D7F">
        <w:rPr>
          <w:rFonts w:ascii="Calibri" w:eastAsia="Calibri" w:hAnsi="Calibri"/>
          <w:szCs w:val="22"/>
          <w:u w:val="single"/>
          <w:lang w:eastAsia="en-US"/>
        </w:rPr>
        <w:t>P</w:t>
      </w:r>
      <w:r w:rsidRPr="00496D7F">
        <w:rPr>
          <w:rFonts w:ascii="Calibri" w:eastAsia="Calibri" w:hAnsi="Calibri"/>
          <w:szCs w:val="22"/>
          <w:u w:val="single"/>
          <w:lang w:eastAsia="en-US"/>
        </w:rPr>
        <w:t>roductos para bebés</w:t>
      </w:r>
      <w:r w:rsidRPr="00496D7F">
        <w:rPr>
          <w:rFonts w:ascii="Calibri" w:eastAsia="Calibri" w:hAnsi="Calibri"/>
          <w:szCs w:val="22"/>
          <w:lang w:eastAsia="en-US"/>
        </w:rPr>
        <w:t xml:space="preserve">. Estos productos, incluidos los asientos de coche, cochecitos y sillas de paseo, que estaban en el ámbito de aplicación de los FFR </w:t>
      </w:r>
      <w:r w:rsidR="00F8704A">
        <w:rPr>
          <w:rFonts w:ascii="Calibri" w:eastAsia="Calibri" w:hAnsi="Calibri"/>
          <w:szCs w:val="22"/>
          <w:lang w:eastAsia="en-US"/>
        </w:rPr>
        <w:t>se quedan fuera</w:t>
      </w:r>
      <w:r w:rsidRPr="00496D7F">
        <w:rPr>
          <w:rFonts w:ascii="Calibri" w:eastAsia="Calibri" w:hAnsi="Calibri"/>
          <w:szCs w:val="22"/>
          <w:lang w:eastAsia="en-US"/>
        </w:rPr>
        <w:t xml:space="preserve"> del nuevo enfoque, porque no se ajustan a la definición de muebles tapizados destinados habitualmente a su uso en interiores o exteriores en locales domésticos. </w:t>
      </w:r>
    </w:p>
    <w:p w14:paraId="687B4321" w14:textId="77777777" w:rsidR="00F8704A" w:rsidRPr="00496D7F" w:rsidRDefault="00F8704A" w:rsidP="00496D7F">
      <w:pPr>
        <w:jc w:val="both"/>
        <w:rPr>
          <w:rFonts w:ascii="Calibri" w:eastAsia="Calibri" w:hAnsi="Calibri"/>
          <w:szCs w:val="22"/>
          <w:lang w:eastAsia="en-US"/>
        </w:rPr>
      </w:pPr>
    </w:p>
    <w:p w14:paraId="78E2B3EC" w14:textId="3D72DB36" w:rsidR="00A54CF8" w:rsidRPr="00A54CF8" w:rsidRDefault="00F8704A" w:rsidP="00A54CF8">
      <w:pPr>
        <w:jc w:val="both"/>
        <w:rPr>
          <w:rFonts w:ascii="Calibri" w:eastAsia="Calibri" w:hAnsi="Calibri"/>
          <w:i/>
          <w:iCs/>
          <w:szCs w:val="22"/>
          <w:lang w:val="en-GB" w:eastAsia="en-US"/>
        </w:rPr>
      </w:pPr>
      <w:r w:rsidRPr="00F8704A">
        <w:rPr>
          <w:rFonts w:ascii="Calibri" w:eastAsia="Calibri" w:hAnsi="Calibri"/>
          <w:szCs w:val="22"/>
          <w:u w:val="single"/>
          <w:lang w:eastAsia="en-US"/>
        </w:rPr>
        <w:t>Muebles tapizados de exterior</w:t>
      </w:r>
      <w:r w:rsidRPr="00F8704A">
        <w:rPr>
          <w:rFonts w:ascii="Calibri" w:eastAsia="Calibri" w:hAnsi="Calibri"/>
          <w:szCs w:val="22"/>
          <w:lang w:eastAsia="en-US"/>
        </w:rPr>
        <w:t xml:space="preserve">. </w:t>
      </w:r>
      <w:r w:rsidR="00A54CF8" w:rsidRPr="00A54CF8">
        <w:rPr>
          <w:rFonts w:ascii="Calibri" w:eastAsia="Calibri" w:hAnsi="Calibri"/>
          <w:szCs w:val="22"/>
          <w:lang w:eastAsia="en-US"/>
        </w:rPr>
        <w:t>Se propone que los muebles tapizados de exterior permanezcan en el ámbito de aplicación</w:t>
      </w:r>
      <w:r w:rsidR="00A54CF8">
        <w:rPr>
          <w:rFonts w:ascii="Calibri" w:eastAsia="Calibri" w:hAnsi="Calibri"/>
          <w:szCs w:val="22"/>
          <w:lang w:eastAsia="en-US"/>
        </w:rPr>
        <w:t>,</w:t>
      </w:r>
      <w:r w:rsidR="00A54CF8" w:rsidRPr="00A54CF8">
        <w:rPr>
          <w:rFonts w:ascii="Calibri" w:eastAsia="Calibri" w:hAnsi="Calibri"/>
          <w:szCs w:val="22"/>
          <w:lang w:eastAsia="en-US"/>
        </w:rPr>
        <w:t xml:space="preserve"> excepto cuando los fabricantes coloquen una etiqueta de advertencia de </w:t>
      </w:r>
      <w:r w:rsidR="00A54CF8">
        <w:rPr>
          <w:rFonts w:ascii="Calibri" w:eastAsia="Calibri" w:hAnsi="Calibri"/>
          <w:szCs w:val="22"/>
          <w:lang w:eastAsia="en-US"/>
        </w:rPr>
        <w:t xml:space="preserve">que se trata de un </w:t>
      </w:r>
      <w:r w:rsidR="00A54CF8" w:rsidRPr="00A54CF8">
        <w:rPr>
          <w:rFonts w:ascii="Calibri" w:eastAsia="Calibri" w:hAnsi="Calibri"/>
          <w:szCs w:val="22"/>
          <w:lang w:eastAsia="en-US"/>
        </w:rPr>
        <w:t xml:space="preserve">producto tapizado </w:t>
      </w:r>
      <w:r w:rsidR="00A54CF8">
        <w:rPr>
          <w:rFonts w:ascii="Calibri" w:eastAsia="Calibri" w:hAnsi="Calibri"/>
          <w:szCs w:val="22"/>
          <w:lang w:eastAsia="en-US"/>
        </w:rPr>
        <w:t>para el</w:t>
      </w:r>
      <w:r w:rsidR="00A54CF8" w:rsidRPr="00A54CF8">
        <w:rPr>
          <w:rFonts w:ascii="Calibri" w:eastAsia="Calibri" w:hAnsi="Calibri"/>
          <w:szCs w:val="22"/>
          <w:lang w:eastAsia="en-US"/>
        </w:rPr>
        <w:t xml:space="preserve"> exterior. </w:t>
      </w:r>
      <w:proofErr w:type="spellStart"/>
      <w:r w:rsidR="00A54CF8" w:rsidRPr="00A54CF8">
        <w:rPr>
          <w:rFonts w:ascii="Calibri" w:eastAsia="Calibri" w:hAnsi="Calibri"/>
          <w:szCs w:val="22"/>
          <w:lang w:val="en-GB" w:eastAsia="en-US"/>
        </w:rPr>
        <w:t>Dichos</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productos</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tapizados</w:t>
      </w:r>
      <w:proofErr w:type="spellEnd"/>
      <w:r w:rsidR="00A54CF8" w:rsidRPr="00A54CF8">
        <w:rPr>
          <w:rFonts w:ascii="Calibri" w:eastAsia="Calibri" w:hAnsi="Calibri"/>
          <w:szCs w:val="22"/>
          <w:lang w:val="en-GB" w:eastAsia="en-US"/>
        </w:rPr>
        <w:t xml:space="preserve"> para </w:t>
      </w:r>
      <w:proofErr w:type="spellStart"/>
      <w:r w:rsidR="00A54CF8" w:rsidRPr="00A54CF8">
        <w:rPr>
          <w:rFonts w:ascii="Calibri" w:eastAsia="Calibri" w:hAnsi="Calibri"/>
          <w:szCs w:val="22"/>
          <w:lang w:val="en-GB" w:eastAsia="en-US"/>
        </w:rPr>
        <w:t>exteriores</w:t>
      </w:r>
      <w:proofErr w:type="spellEnd"/>
      <w:r w:rsidR="00A54CF8" w:rsidRPr="00A54CF8">
        <w:rPr>
          <w:rFonts w:ascii="Calibri" w:eastAsia="Calibri" w:hAnsi="Calibri"/>
          <w:szCs w:val="22"/>
          <w:lang w:val="en-GB" w:eastAsia="en-US"/>
        </w:rPr>
        <w:t xml:space="preserve"> no </w:t>
      </w:r>
      <w:proofErr w:type="spellStart"/>
      <w:r w:rsidR="00A54CF8" w:rsidRPr="00A54CF8">
        <w:rPr>
          <w:rFonts w:ascii="Calibri" w:eastAsia="Calibri" w:hAnsi="Calibri"/>
          <w:szCs w:val="22"/>
          <w:lang w:val="en-GB" w:eastAsia="en-US"/>
        </w:rPr>
        <w:t>entra</w:t>
      </w:r>
      <w:r w:rsidR="0063701A">
        <w:rPr>
          <w:rFonts w:ascii="Calibri" w:eastAsia="Calibri" w:hAnsi="Calibri"/>
          <w:szCs w:val="22"/>
          <w:lang w:val="en-GB" w:eastAsia="en-US"/>
        </w:rPr>
        <w:t>ría</w:t>
      </w:r>
      <w:r w:rsidR="00A54CF8" w:rsidRPr="00A54CF8">
        <w:rPr>
          <w:rFonts w:ascii="Calibri" w:eastAsia="Calibri" w:hAnsi="Calibri"/>
          <w:szCs w:val="22"/>
          <w:lang w:val="en-GB" w:eastAsia="en-US"/>
        </w:rPr>
        <w:t>n</w:t>
      </w:r>
      <w:proofErr w:type="spellEnd"/>
      <w:r w:rsidR="00A54CF8" w:rsidRPr="00A54CF8">
        <w:rPr>
          <w:rFonts w:ascii="Calibri" w:eastAsia="Calibri" w:hAnsi="Calibri"/>
          <w:szCs w:val="22"/>
          <w:lang w:val="en-GB" w:eastAsia="en-US"/>
        </w:rPr>
        <w:t xml:space="preserve"> en el </w:t>
      </w:r>
      <w:proofErr w:type="spellStart"/>
      <w:r w:rsidR="00A54CF8" w:rsidRPr="00A54CF8">
        <w:rPr>
          <w:rFonts w:ascii="Calibri" w:eastAsia="Calibri" w:hAnsi="Calibri"/>
          <w:szCs w:val="22"/>
          <w:lang w:val="en-GB" w:eastAsia="en-US"/>
        </w:rPr>
        <w:t>ámbito</w:t>
      </w:r>
      <w:proofErr w:type="spellEnd"/>
      <w:r w:rsidR="00A54CF8" w:rsidRPr="00A54CF8">
        <w:rPr>
          <w:rFonts w:ascii="Calibri" w:eastAsia="Calibri" w:hAnsi="Calibri"/>
          <w:szCs w:val="22"/>
          <w:lang w:val="en-GB" w:eastAsia="en-US"/>
        </w:rPr>
        <w:t xml:space="preserve"> de </w:t>
      </w:r>
      <w:proofErr w:type="spellStart"/>
      <w:r w:rsidR="00A54CF8" w:rsidRPr="00A54CF8">
        <w:rPr>
          <w:rFonts w:ascii="Calibri" w:eastAsia="Calibri" w:hAnsi="Calibri"/>
          <w:szCs w:val="22"/>
          <w:lang w:val="en-GB" w:eastAsia="en-US"/>
        </w:rPr>
        <w:t>aplicación</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si</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están</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etiquetados</w:t>
      </w:r>
      <w:proofErr w:type="spellEnd"/>
      <w:r w:rsidR="00A54CF8" w:rsidRPr="00A54CF8">
        <w:rPr>
          <w:rFonts w:ascii="Calibri" w:eastAsia="Calibri" w:hAnsi="Calibri"/>
          <w:szCs w:val="22"/>
          <w:lang w:val="en-GB" w:eastAsia="en-US"/>
        </w:rPr>
        <w:t xml:space="preserve"> de forma </w:t>
      </w:r>
      <w:proofErr w:type="spellStart"/>
      <w:r w:rsidR="00A54CF8" w:rsidRPr="00A54CF8">
        <w:rPr>
          <w:rFonts w:ascii="Calibri" w:eastAsia="Calibri" w:hAnsi="Calibri"/>
          <w:szCs w:val="22"/>
          <w:lang w:val="en-GB" w:eastAsia="en-US"/>
        </w:rPr>
        <w:t>claramente</w:t>
      </w:r>
      <w:proofErr w:type="spellEnd"/>
      <w:r w:rsidR="00A54CF8" w:rsidRPr="00A54CF8">
        <w:rPr>
          <w:rFonts w:ascii="Calibri" w:eastAsia="Calibri" w:hAnsi="Calibri"/>
          <w:szCs w:val="22"/>
          <w:lang w:val="en-GB" w:eastAsia="en-US"/>
        </w:rPr>
        <w:t xml:space="preserve"> visible, legible e </w:t>
      </w:r>
      <w:proofErr w:type="spellStart"/>
      <w:r w:rsidR="00A54CF8" w:rsidRPr="00A54CF8">
        <w:rPr>
          <w:rFonts w:ascii="Calibri" w:eastAsia="Calibri" w:hAnsi="Calibri"/>
          <w:szCs w:val="22"/>
          <w:lang w:val="en-GB" w:eastAsia="en-US"/>
        </w:rPr>
        <w:t>indeleble</w:t>
      </w:r>
      <w:proofErr w:type="spellEnd"/>
      <w:r w:rsidR="00A54CF8" w:rsidRPr="00A54CF8">
        <w:rPr>
          <w:rFonts w:ascii="Calibri" w:eastAsia="Calibri" w:hAnsi="Calibri"/>
          <w:szCs w:val="22"/>
          <w:lang w:val="en-GB" w:eastAsia="en-US"/>
        </w:rPr>
        <w:t xml:space="preserve"> con</w:t>
      </w:r>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textos</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como</w:t>
      </w:r>
      <w:proofErr w:type="spellEnd"/>
      <w:r w:rsidR="00A54CF8" w:rsidRPr="00A54CF8">
        <w:rPr>
          <w:rFonts w:ascii="Calibri" w:eastAsia="Calibri" w:hAnsi="Calibri"/>
          <w:szCs w:val="22"/>
          <w:lang w:val="en-GB" w:eastAsia="en-US"/>
        </w:rPr>
        <w:t xml:space="preserve"> </w:t>
      </w:r>
      <w:proofErr w:type="spellStart"/>
      <w:r w:rsidR="00A54CF8" w:rsidRPr="00A54CF8">
        <w:rPr>
          <w:rFonts w:ascii="Calibri" w:eastAsia="Calibri" w:hAnsi="Calibri"/>
          <w:szCs w:val="22"/>
          <w:lang w:val="en-GB" w:eastAsia="en-US"/>
        </w:rPr>
        <w:t>éstos</w:t>
      </w:r>
      <w:proofErr w:type="spellEnd"/>
      <w:r w:rsidR="00A54CF8" w:rsidRPr="00A54CF8">
        <w:rPr>
          <w:rFonts w:ascii="Calibri" w:eastAsia="Calibri" w:hAnsi="Calibri"/>
          <w:szCs w:val="22"/>
          <w:lang w:val="en-GB" w:eastAsia="en-US"/>
        </w:rPr>
        <w:t xml:space="preserve">: </w:t>
      </w:r>
      <w:r w:rsidR="00A54CF8" w:rsidRPr="00A54CF8">
        <w:rPr>
          <w:rFonts w:ascii="Calibri" w:eastAsia="Calibri" w:hAnsi="Calibri"/>
          <w:b/>
          <w:bCs/>
          <w:i/>
          <w:iCs/>
          <w:szCs w:val="22"/>
          <w:lang w:val="en-GB" w:eastAsia="en-US"/>
        </w:rPr>
        <w:t>CARELESSNESS CAUSES FIRE</w:t>
      </w:r>
      <w:r w:rsidR="00A54CF8" w:rsidRPr="00A54CF8">
        <w:rPr>
          <w:rFonts w:ascii="Calibri" w:eastAsia="Calibri" w:hAnsi="Calibri"/>
          <w:b/>
          <w:bCs/>
          <w:i/>
          <w:iCs/>
          <w:szCs w:val="22"/>
          <w:lang w:val="en-GB" w:eastAsia="en-US"/>
        </w:rPr>
        <w:t xml:space="preserve">; </w:t>
      </w:r>
      <w:r w:rsidR="00A54CF8" w:rsidRPr="00A54CF8">
        <w:rPr>
          <w:rFonts w:ascii="Calibri" w:eastAsia="Calibri" w:hAnsi="Calibri"/>
          <w:b/>
          <w:bCs/>
          <w:i/>
          <w:iCs/>
          <w:szCs w:val="22"/>
          <w:lang w:val="en-GB" w:eastAsia="en-US"/>
        </w:rPr>
        <w:t xml:space="preserve">DO NOT REMOVE THIS LABEL </w:t>
      </w:r>
      <w:r w:rsidR="00A54CF8" w:rsidRPr="00A54CF8">
        <w:rPr>
          <w:rFonts w:ascii="Calibri" w:eastAsia="Calibri" w:hAnsi="Calibri"/>
          <w:i/>
          <w:iCs/>
          <w:szCs w:val="22"/>
          <w:lang w:val="en-GB" w:eastAsia="en-US"/>
        </w:rPr>
        <w:t>– this label is required for the product to be resold on the second-hand market, and to ensure the product is disposed of appropriately</w:t>
      </w:r>
      <w:r w:rsidR="00A54CF8" w:rsidRPr="00A54CF8">
        <w:rPr>
          <w:rFonts w:ascii="Calibri" w:eastAsia="Calibri" w:hAnsi="Calibri"/>
          <w:i/>
          <w:iCs/>
          <w:szCs w:val="22"/>
          <w:lang w:val="en-GB" w:eastAsia="en-US"/>
        </w:rPr>
        <w:t xml:space="preserve">; o </w:t>
      </w:r>
      <w:r w:rsidR="00A54CF8" w:rsidRPr="00A54CF8">
        <w:rPr>
          <w:rFonts w:ascii="Calibri" w:eastAsia="Calibri" w:hAnsi="Calibri"/>
          <w:b/>
          <w:bCs/>
          <w:i/>
          <w:iCs/>
          <w:szCs w:val="22"/>
          <w:lang w:val="en-GB" w:eastAsia="en-US"/>
        </w:rPr>
        <w:t xml:space="preserve">DO NOT USE OR STORE THIS PRODUCT INSIDE DUE TO RISK OF FIRE. </w:t>
      </w:r>
      <w:r w:rsidR="00A54CF8" w:rsidRPr="00A54CF8">
        <w:rPr>
          <w:rFonts w:ascii="Calibri" w:eastAsia="Calibri" w:hAnsi="Calibri"/>
          <w:i/>
          <w:iCs/>
          <w:szCs w:val="22"/>
          <w:lang w:val="en-GB" w:eastAsia="en-US"/>
        </w:rPr>
        <w:t>It has not been assessed for compliance with The Furniture and Furnishings (Fire) (Safety) Regulations 20XX</w:t>
      </w:r>
    </w:p>
    <w:p w14:paraId="7D5D2C73" w14:textId="77777777" w:rsidR="00A54CF8" w:rsidRPr="00A54CF8" w:rsidRDefault="00A54CF8" w:rsidP="00491811">
      <w:pPr>
        <w:jc w:val="both"/>
        <w:rPr>
          <w:rFonts w:ascii="Calibri" w:eastAsia="Calibri" w:hAnsi="Calibri"/>
          <w:szCs w:val="22"/>
          <w:lang w:val="en-GB" w:eastAsia="en-US"/>
        </w:rPr>
      </w:pPr>
    </w:p>
    <w:p w14:paraId="5EE1597A" w14:textId="5DEFD62D" w:rsidR="00A54CF8" w:rsidRDefault="00A54CF8" w:rsidP="00A54CF8">
      <w:pPr>
        <w:jc w:val="both"/>
        <w:rPr>
          <w:rFonts w:ascii="Calibri" w:eastAsia="Calibri" w:hAnsi="Calibri"/>
          <w:szCs w:val="22"/>
          <w:lang w:eastAsia="en-US"/>
        </w:rPr>
      </w:pPr>
      <w:r w:rsidRPr="00A54CF8">
        <w:rPr>
          <w:rFonts w:ascii="Calibri" w:eastAsia="Calibri" w:hAnsi="Calibri"/>
          <w:szCs w:val="22"/>
          <w:u w:val="single"/>
          <w:lang w:eastAsia="en-US"/>
        </w:rPr>
        <w:t>Requisitos esenciales de seguridad</w:t>
      </w:r>
      <w:r w:rsidRPr="00A54CF8">
        <w:rPr>
          <w:rFonts w:ascii="Calibri" w:eastAsia="Calibri" w:hAnsi="Calibri"/>
          <w:szCs w:val="22"/>
          <w:lang w:eastAsia="en-US"/>
        </w:rPr>
        <w:t xml:space="preserve"> - Los requisitos esenciales de seguridad se centran en el producto final, alejándose del régimen de seguridad de los componentes de los actuales FFR, para considerar el producto tapizado fabricado en su totalidad. Los requisitos esenciales de seguridad tienen por objeto detener o retrasar la ignición para facilitar la evacuación. </w:t>
      </w:r>
    </w:p>
    <w:p w14:paraId="59D2C8E6" w14:textId="77777777" w:rsidR="00A54CF8" w:rsidRDefault="00A54CF8" w:rsidP="00491811">
      <w:pPr>
        <w:jc w:val="both"/>
        <w:rPr>
          <w:rFonts w:ascii="Calibri" w:eastAsia="Calibri" w:hAnsi="Calibri"/>
          <w:szCs w:val="22"/>
          <w:lang w:eastAsia="en-US"/>
        </w:rPr>
      </w:pPr>
    </w:p>
    <w:p w14:paraId="6F2C2947" w14:textId="03B9FEE6" w:rsidR="007E48BF" w:rsidRPr="007E48BF" w:rsidRDefault="007E48BF" w:rsidP="007E48BF">
      <w:pPr>
        <w:jc w:val="both"/>
        <w:rPr>
          <w:rFonts w:ascii="Calibri" w:eastAsia="Calibri" w:hAnsi="Calibri"/>
          <w:szCs w:val="22"/>
          <w:lang w:eastAsia="en-US"/>
        </w:rPr>
      </w:pPr>
      <w:r w:rsidRPr="007E48BF">
        <w:rPr>
          <w:rFonts w:ascii="Calibri" w:eastAsia="Calibri" w:hAnsi="Calibri"/>
          <w:szCs w:val="22"/>
          <w:u w:val="single"/>
          <w:lang w:eastAsia="en-US"/>
        </w:rPr>
        <w:t>Evaluación de la conformidad y ensayos.</w:t>
      </w:r>
      <w:r w:rsidRPr="007E48BF">
        <w:rPr>
          <w:rFonts w:ascii="Calibri" w:eastAsia="Calibri" w:hAnsi="Calibri"/>
          <w:szCs w:val="22"/>
          <w:lang w:eastAsia="en-US"/>
        </w:rPr>
        <w:t xml:space="preserve"> </w:t>
      </w:r>
      <w:r>
        <w:rPr>
          <w:rFonts w:ascii="Calibri" w:eastAsia="Calibri" w:hAnsi="Calibri"/>
          <w:szCs w:val="22"/>
          <w:lang w:eastAsia="en-US"/>
        </w:rPr>
        <w:t xml:space="preserve">Se realizarán sobre </w:t>
      </w:r>
      <w:r w:rsidRPr="007E48BF">
        <w:rPr>
          <w:rFonts w:ascii="Calibri" w:eastAsia="Calibri" w:hAnsi="Calibri"/>
          <w:szCs w:val="22"/>
          <w:lang w:eastAsia="en-US"/>
        </w:rPr>
        <w:t xml:space="preserve">el mueble final, o una muestra compuesta o representativa. </w:t>
      </w:r>
      <w:r>
        <w:rPr>
          <w:rFonts w:ascii="Calibri" w:eastAsia="Calibri" w:hAnsi="Calibri"/>
          <w:szCs w:val="22"/>
          <w:lang w:eastAsia="en-US"/>
        </w:rPr>
        <w:t>La</w:t>
      </w:r>
      <w:r w:rsidRPr="007E48BF">
        <w:rPr>
          <w:rFonts w:ascii="Calibri" w:eastAsia="Calibri" w:hAnsi="Calibri"/>
          <w:szCs w:val="22"/>
          <w:lang w:eastAsia="en-US"/>
        </w:rPr>
        <w:t xml:space="preserve"> normativa se apoyará en normas británicas voluntarias. El desarrollo de las normas británicas será coordinado y facilitado por la British Standards Institution</w:t>
      </w:r>
      <w:r>
        <w:rPr>
          <w:rFonts w:ascii="Calibri" w:eastAsia="Calibri" w:hAnsi="Calibri"/>
          <w:szCs w:val="22"/>
          <w:lang w:eastAsia="en-US"/>
        </w:rPr>
        <w:t xml:space="preserve"> (BSI), pero</w:t>
      </w:r>
      <w:r w:rsidRPr="007E48BF">
        <w:rPr>
          <w:rFonts w:ascii="Calibri" w:eastAsia="Calibri" w:hAnsi="Calibri"/>
          <w:szCs w:val="22"/>
          <w:lang w:eastAsia="en-US"/>
        </w:rPr>
        <w:t xml:space="preserve"> los fabricantes también podrán identificar y utilizar otras metodologías de ensayo para demostrar el cumplimiento de los requisitos esenciales de seguridad, si así lo desean. </w:t>
      </w:r>
    </w:p>
    <w:p w14:paraId="5FC6939A" w14:textId="77777777" w:rsidR="00E66F80" w:rsidRDefault="00E66F80" w:rsidP="00491811">
      <w:pPr>
        <w:jc w:val="both"/>
        <w:rPr>
          <w:rFonts w:ascii="Calibri" w:eastAsia="Calibri" w:hAnsi="Calibri"/>
          <w:szCs w:val="22"/>
          <w:lang w:eastAsia="en-US"/>
        </w:rPr>
      </w:pPr>
    </w:p>
    <w:p w14:paraId="56D58100" w14:textId="2E49EE73" w:rsidR="007E48BF" w:rsidRPr="007E48BF" w:rsidRDefault="007E48BF" w:rsidP="007E48BF">
      <w:pPr>
        <w:jc w:val="both"/>
        <w:rPr>
          <w:rFonts w:ascii="Calibri" w:eastAsia="Calibri" w:hAnsi="Calibri"/>
          <w:szCs w:val="22"/>
          <w:lang w:eastAsia="en-US"/>
        </w:rPr>
      </w:pPr>
      <w:r w:rsidRPr="007E48BF">
        <w:rPr>
          <w:rFonts w:ascii="Calibri" w:eastAsia="Calibri" w:hAnsi="Calibri"/>
          <w:szCs w:val="22"/>
          <w:u w:val="single"/>
          <w:lang w:eastAsia="en-US"/>
        </w:rPr>
        <w:t>Etiquetado</w:t>
      </w:r>
      <w:r w:rsidRPr="007E48BF">
        <w:rPr>
          <w:rFonts w:ascii="Calibri" w:eastAsia="Calibri" w:hAnsi="Calibri"/>
          <w:szCs w:val="22"/>
          <w:lang w:eastAsia="en-US"/>
        </w:rPr>
        <w:t>. Los fabricantes deberán asegurarse de que cada producto nuevo lleve una etiqueta permanente que indique el cumplimiento de los requisitos. La etiqueta debe incluir</w:t>
      </w:r>
      <w:r>
        <w:rPr>
          <w:rFonts w:ascii="Calibri" w:eastAsia="Calibri" w:hAnsi="Calibri"/>
          <w:szCs w:val="22"/>
          <w:lang w:eastAsia="en-US"/>
        </w:rPr>
        <w:t xml:space="preserve"> la siguiente información</w:t>
      </w:r>
      <w:r w:rsidRPr="007E48BF">
        <w:rPr>
          <w:rFonts w:ascii="Calibri" w:eastAsia="Calibri" w:hAnsi="Calibri"/>
          <w:szCs w:val="22"/>
          <w:lang w:eastAsia="en-US"/>
        </w:rPr>
        <w:t xml:space="preserve">: </w:t>
      </w:r>
    </w:p>
    <w:p w14:paraId="57C2C42D" w14:textId="00CC3014" w:rsidR="007E48BF" w:rsidRPr="007E48BF" w:rsidRDefault="007E48BF" w:rsidP="007E48BF">
      <w:pPr>
        <w:pStyle w:val="Prrafodelista"/>
        <w:numPr>
          <w:ilvl w:val="0"/>
          <w:numId w:val="27"/>
        </w:numPr>
        <w:jc w:val="both"/>
        <w:rPr>
          <w:rFonts w:ascii="Calibri" w:eastAsia="Calibri" w:hAnsi="Calibri"/>
          <w:szCs w:val="22"/>
          <w:lang w:val="en-GB" w:eastAsia="en-US"/>
        </w:rPr>
      </w:pPr>
      <w:r w:rsidRPr="007E48BF">
        <w:rPr>
          <w:rFonts w:ascii="Calibri" w:eastAsia="Calibri" w:hAnsi="Calibri"/>
          <w:szCs w:val="22"/>
          <w:lang w:val="en-GB" w:eastAsia="en-US"/>
        </w:rPr>
        <w:t xml:space="preserve">las </w:t>
      </w:r>
      <w:proofErr w:type="spellStart"/>
      <w:r w:rsidRPr="007E48BF">
        <w:rPr>
          <w:rFonts w:ascii="Calibri" w:eastAsia="Calibri" w:hAnsi="Calibri"/>
          <w:szCs w:val="22"/>
          <w:lang w:val="en-GB" w:eastAsia="en-US"/>
        </w:rPr>
        <w:t>siguientes</w:t>
      </w:r>
      <w:proofErr w:type="spellEnd"/>
      <w:r w:rsidRPr="007E48BF">
        <w:rPr>
          <w:rFonts w:ascii="Calibri" w:eastAsia="Calibri" w:hAnsi="Calibri"/>
          <w:szCs w:val="22"/>
          <w:lang w:val="en-GB" w:eastAsia="en-US"/>
        </w:rPr>
        <w:t xml:space="preserve"> palabras "</w:t>
      </w:r>
      <w:r w:rsidRPr="007E48BF">
        <w:rPr>
          <w:rFonts w:ascii="Calibri" w:eastAsia="Calibri" w:hAnsi="Calibri"/>
          <w:b/>
          <w:bCs/>
          <w:i/>
          <w:iCs/>
          <w:szCs w:val="22"/>
          <w:lang w:val="en-GB" w:eastAsia="en-US"/>
        </w:rPr>
        <w:t xml:space="preserve">CARELESSNESS CAUSES FIRE DO NOT REMOVE THIS LABEL </w:t>
      </w:r>
      <w:r w:rsidRPr="007E48BF">
        <w:rPr>
          <w:rFonts w:ascii="Calibri" w:eastAsia="Calibri" w:hAnsi="Calibri"/>
          <w:i/>
          <w:iCs/>
          <w:szCs w:val="22"/>
          <w:lang w:val="en-GB" w:eastAsia="en-US"/>
        </w:rPr>
        <w:t xml:space="preserve">– this label is required for the product to be resold on the second-hand market, and to ensure the product is disposed of appropriately. This product complies with The Furniture and Furnishings (Fire) (Safety) Regulations </w:t>
      </w:r>
      <w:proofErr w:type="gramStart"/>
      <w:r w:rsidRPr="007E48BF">
        <w:rPr>
          <w:rFonts w:ascii="Calibri" w:eastAsia="Calibri" w:hAnsi="Calibri"/>
          <w:i/>
          <w:iCs/>
          <w:szCs w:val="22"/>
          <w:lang w:val="en-GB" w:eastAsia="en-US"/>
        </w:rPr>
        <w:t>20XX</w:t>
      </w:r>
      <w:r w:rsidRPr="007E48BF">
        <w:rPr>
          <w:rFonts w:ascii="Calibri" w:eastAsia="Calibri" w:hAnsi="Calibri"/>
          <w:szCs w:val="22"/>
          <w:lang w:val="en-GB" w:eastAsia="en-US"/>
        </w:rPr>
        <w:t>”</w:t>
      </w:r>
      <w:proofErr w:type="gramEnd"/>
    </w:p>
    <w:p w14:paraId="65ECD0C1" w14:textId="3F7E1179" w:rsidR="007E48BF" w:rsidRPr="007E48BF" w:rsidRDefault="007E48BF" w:rsidP="007E48BF">
      <w:pPr>
        <w:pStyle w:val="Prrafodelista"/>
        <w:numPr>
          <w:ilvl w:val="0"/>
          <w:numId w:val="27"/>
        </w:numPr>
        <w:jc w:val="both"/>
        <w:rPr>
          <w:rFonts w:ascii="Calibri" w:eastAsia="Calibri" w:hAnsi="Calibri"/>
          <w:szCs w:val="22"/>
          <w:lang w:eastAsia="en-US"/>
        </w:rPr>
      </w:pPr>
      <w:r w:rsidRPr="007E48BF">
        <w:rPr>
          <w:rFonts w:ascii="Calibri" w:eastAsia="Calibri" w:hAnsi="Calibri"/>
          <w:szCs w:val="22"/>
          <w:lang w:eastAsia="en-US"/>
        </w:rPr>
        <w:t xml:space="preserve">el nombre y la dirección del fabricante </w:t>
      </w:r>
    </w:p>
    <w:p w14:paraId="49117738" w14:textId="6336210A" w:rsidR="007E48BF" w:rsidRPr="007E48BF" w:rsidRDefault="007E48BF" w:rsidP="007E48BF">
      <w:pPr>
        <w:pStyle w:val="Prrafodelista"/>
        <w:numPr>
          <w:ilvl w:val="0"/>
          <w:numId w:val="27"/>
        </w:numPr>
        <w:jc w:val="both"/>
        <w:rPr>
          <w:rFonts w:ascii="Calibri" w:eastAsia="Calibri" w:hAnsi="Calibri"/>
          <w:szCs w:val="22"/>
          <w:lang w:eastAsia="en-US"/>
        </w:rPr>
      </w:pPr>
      <w:r w:rsidRPr="007E48BF">
        <w:rPr>
          <w:rFonts w:ascii="Calibri" w:eastAsia="Calibri" w:hAnsi="Calibri"/>
          <w:szCs w:val="22"/>
          <w:lang w:eastAsia="en-US"/>
        </w:rPr>
        <w:t xml:space="preserve">el número de lote o número de identificación (si existe), </w:t>
      </w:r>
    </w:p>
    <w:p w14:paraId="3E1789E4" w14:textId="0B56C5D4" w:rsidR="007E48BF" w:rsidRPr="007E48BF" w:rsidRDefault="007E48BF" w:rsidP="007E48BF">
      <w:pPr>
        <w:pStyle w:val="Prrafodelista"/>
        <w:numPr>
          <w:ilvl w:val="0"/>
          <w:numId w:val="27"/>
        </w:numPr>
        <w:jc w:val="both"/>
        <w:rPr>
          <w:rFonts w:ascii="Calibri" w:eastAsia="Calibri" w:hAnsi="Calibri"/>
          <w:szCs w:val="22"/>
          <w:lang w:eastAsia="en-US"/>
        </w:rPr>
      </w:pPr>
      <w:r w:rsidRPr="007E48BF">
        <w:rPr>
          <w:rFonts w:ascii="Calibri" w:eastAsia="Calibri" w:hAnsi="Calibri"/>
          <w:szCs w:val="22"/>
          <w:lang w:eastAsia="en-US"/>
        </w:rPr>
        <w:t xml:space="preserve">la fecha de fabricación del producto, </w:t>
      </w:r>
    </w:p>
    <w:p w14:paraId="4F21A365" w14:textId="24526715" w:rsidR="007E48BF" w:rsidRPr="007E48BF" w:rsidRDefault="007E48BF" w:rsidP="007E48BF">
      <w:pPr>
        <w:pStyle w:val="Prrafodelista"/>
        <w:numPr>
          <w:ilvl w:val="0"/>
          <w:numId w:val="27"/>
        </w:numPr>
        <w:jc w:val="both"/>
        <w:rPr>
          <w:rFonts w:ascii="Calibri" w:eastAsia="Calibri" w:hAnsi="Calibri"/>
          <w:szCs w:val="22"/>
          <w:lang w:eastAsia="en-US"/>
        </w:rPr>
      </w:pPr>
      <w:r w:rsidRPr="007E48BF">
        <w:rPr>
          <w:rFonts w:ascii="Calibri" w:eastAsia="Calibri" w:hAnsi="Calibri"/>
          <w:szCs w:val="22"/>
          <w:lang w:eastAsia="en-US"/>
        </w:rPr>
        <w:t xml:space="preserve">si el producto contiene </w:t>
      </w:r>
      <w:r>
        <w:rPr>
          <w:rFonts w:ascii="Calibri" w:eastAsia="Calibri" w:hAnsi="Calibri"/>
          <w:szCs w:val="22"/>
          <w:lang w:eastAsia="en-US"/>
        </w:rPr>
        <w:t>retardantes</w:t>
      </w:r>
      <w:r w:rsidRPr="007E48BF">
        <w:rPr>
          <w:rFonts w:ascii="Calibri" w:eastAsia="Calibri" w:hAnsi="Calibri"/>
          <w:szCs w:val="22"/>
          <w:lang w:eastAsia="en-US"/>
        </w:rPr>
        <w:t xml:space="preserve"> químicos de llama, las palabras "Este producto contiene retardantes químicos de llama para cumplir los requisitos de The </w:t>
      </w:r>
      <w:proofErr w:type="spellStart"/>
      <w:r w:rsidRPr="007E48BF">
        <w:rPr>
          <w:rFonts w:ascii="Calibri" w:eastAsia="Calibri" w:hAnsi="Calibri"/>
          <w:szCs w:val="22"/>
          <w:lang w:eastAsia="en-US"/>
        </w:rPr>
        <w:t>Furniture</w:t>
      </w:r>
      <w:proofErr w:type="spellEnd"/>
      <w:r w:rsidRPr="007E48BF">
        <w:rPr>
          <w:rFonts w:ascii="Calibri" w:eastAsia="Calibri" w:hAnsi="Calibri"/>
          <w:szCs w:val="22"/>
          <w:lang w:eastAsia="en-US"/>
        </w:rPr>
        <w:t xml:space="preserve"> and </w:t>
      </w:r>
      <w:proofErr w:type="spellStart"/>
      <w:r w:rsidRPr="007E48BF">
        <w:rPr>
          <w:rFonts w:ascii="Calibri" w:eastAsia="Calibri" w:hAnsi="Calibri"/>
          <w:szCs w:val="22"/>
          <w:lang w:eastAsia="en-US"/>
        </w:rPr>
        <w:t>Furnishings</w:t>
      </w:r>
      <w:proofErr w:type="spellEnd"/>
      <w:r w:rsidRPr="007E48BF">
        <w:rPr>
          <w:rFonts w:ascii="Calibri" w:eastAsia="Calibri" w:hAnsi="Calibri"/>
          <w:szCs w:val="22"/>
          <w:lang w:eastAsia="en-US"/>
        </w:rPr>
        <w:t xml:space="preserve"> (</w:t>
      </w:r>
      <w:proofErr w:type="spellStart"/>
      <w:r w:rsidRPr="007E48BF">
        <w:rPr>
          <w:rFonts w:ascii="Calibri" w:eastAsia="Calibri" w:hAnsi="Calibri"/>
          <w:szCs w:val="22"/>
          <w:lang w:eastAsia="en-US"/>
        </w:rPr>
        <w:t>Fire</w:t>
      </w:r>
      <w:proofErr w:type="spellEnd"/>
      <w:r w:rsidRPr="007E48BF">
        <w:rPr>
          <w:rFonts w:ascii="Calibri" w:eastAsia="Calibri" w:hAnsi="Calibri"/>
          <w:szCs w:val="22"/>
          <w:lang w:eastAsia="en-US"/>
        </w:rPr>
        <w:t xml:space="preserve">) (Safety) Regulations 20XX", </w:t>
      </w:r>
      <w:r>
        <w:rPr>
          <w:rFonts w:ascii="Calibri" w:eastAsia="Calibri" w:hAnsi="Calibri"/>
          <w:szCs w:val="22"/>
          <w:lang w:eastAsia="en-US"/>
        </w:rPr>
        <w:t xml:space="preserve">así como la </w:t>
      </w:r>
      <w:r w:rsidRPr="007E48BF">
        <w:rPr>
          <w:rFonts w:ascii="Calibri" w:eastAsia="Calibri" w:hAnsi="Calibri"/>
          <w:szCs w:val="22"/>
          <w:lang w:eastAsia="en-US"/>
        </w:rPr>
        <w:t xml:space="preserve">lista de dichos retardantes químicos de llama. </w:t>
      </w:r>
    </w:p>
    <w:p w14:paraId="13834ACE" w14:textId="77777777" w:rsidR="007E48BF" w:rsidRDefault="007E48BF" w:rsidP="007E48BF">
      <w:pPr>
        <w:jc w:val="both"/>
        <w:rPr>
          <w:rFonts w:ascii="Calibri" w:eastAsia="Calibri" w:hAnsi="Calibri"/>
          <w:szCs w:val="22"/>
          <w:lang w:eastAsia="en-US"/>
        </w:rPr>
      </w:pPr>
    </w:p>
    <w:p w14:paraId="7B2C5364" w14:textId="77777777" w:rsidR="0063701A" w:rsidRDefault="0063701A">
      <w:pPr>
        <w:rPr>
          <w:rFonts w:ascii="Calibri" w:eastAsia="Calibri" w:hAnsi="Calibri"/>
          <w:szCs w:val="22"/>
          <w:u w:val="single"/>
          <w:lang w:eastAsia="en-US"/>
        </w:rPr>
      </w:pPr>
      <w:r>
        <w:rPr>
          <w:rFonts w:ascii="Calibri" w:eastAsia="Calibri" w:hAnsi="Calibri"/>
          <w:szCs w:val="22"/>
          <w:u w:val="single"/>
          <w:lang w:eastAsia="en-US"/>
        </w:rPr>
        <w:br w:type="page"/>
      </w:r>
    </w:p>
    <w:p w14:paraId="75229298" w14:textId="7A5071D8" w:rsidR="007E48BF" w:rsidRPr="007E48BF" w:rsidRDefault="007E48BF" w:rsidP="007E48BF">
      <w:pPr>
        <w:jc w:val="both"/>
        <w:rPr>
          <w:rFonts w:ascii="Calibri" w:eastAsia="Calibri" w:hAnsi="Calibri"/>
          <w:szCs w:val="22"/>
          <w:lang w:eastAsia="en-US"/>
        </w:rPr>
      </w:pPr>
      <w:r w:rsidRPr="007E48BF">
        <w:rPr>
          <w:rFonts w:ascii="Calibri" w:eastAsia="Calibri" w:hAnsi="Calibri"/>
          <w:szCs w:val="22"/>
          <w:u w:val="single"/>
          <w:lang w:eastAsia="en-US"/>
        </w:rPr>
        <w:t>Ficha técnica</w:t>
      </w:r>
      <w:r w:rsidRPr="007E48BF">
        <w:rPr>
          <w:rFonts w:ascii="Calibri" w:eastAsia="Calibri" w:hAnsi="Calibri"/>
          <w:szCs w:val="22"/>
          <w:lang w:eastAsia="en-US"/>
        </w:rPr>
        <w:t xml:space="preserve">. </w:t>
      </w:r>
    </w:p>
    <w:p w14:paraId="680DAA32" w14:textId="77777777" w:rsidR="007E48BF" w:rsidRDefault="007E48BF" w:rsidP="007E48BF">
      <w:pPr>
        <w:jc w:val="both"/>
        <w:rPr>
          <w:rFonts w:ascii="Calibri" w:eastAsia="Calibri" w:hAnsi="Calibri"/>
          <w:szCs w:val="22"/>
          <w:lang w:eastAsia="en-US"/>
        </w:rPr>
      </w:pPr>
    </w:p>
    <w:p w14:paraId="2ECF1970" w14:textId="6A333EF2" w:rsidR="007E48BF" w:rsidRDefault="007E48BF" w:rsidP="007E48BF">
      <w:pPr>
        <w:jc w:val="both"/>
        <w:rPr>
          <w:rFonts w:ascii="Calibri" w:eastAsia="Calibri" w:hAnsi="Calibri"/>
          <w:szCs w:val="22"/>
          <w:lang w:eastAsia="en-US"/>
        </w:rPr>
      </w:pPr>
      <w:r w:rsidRPr="007E48BF">
        <w:rPr>
          <w:rFonts w:ascii="Calibri" w:eastAsia="Calibri" w:hAnsi="Calibri"/>
          <w:szCs w:val="22"/>
          <w:lang w:eastAsia="en-US"/>
        </w:rPr>
        <w:t xml:space="preserve">Los importadores deben obtener una copia de la documentación técnica y conservarla durante 10 años a partir de la comercialización del producto. El expediente técnico debe incluir:  </w:t>
      </w:r>
      <w:r>
        <w:rPr>
          <w:rFonts w:ascii="Calibri" w:eastAsia="Calibri" w:hAnsi="Calibri"/>
          <w:szCs w:val="22"/>
          <w:lang w:eastAsia="en-US"/>
        </w:rPr>
        <w:t>e</w:t>
      </w:r>
      <w:r w:rsidRPr="007E48BF">
        <w:rPr>
          <w:rFonts w:ascii="Calibri" w:eastAsia="Calibri" w:hAnsi="Calibri"/>
          <w:szCs w:val="22"/>
          <w:lang w:eastAsia="en-US"/>
        </w:rPr>
        <w:t>l nombre, la dirección y los datos de contacto del fabricante</w:t>
      </w:r>
      <w:r>
        <w:rPr>
          <w:rFonts w:ascii="Calibri" w:eastAsia="Calibri" w:hAnsi="Calibri"/>
          <w:szCs w:val="22"/>
          <w:lang w:eastAsia="en-US"/>
        </w:rPr>
        <w:t>; l</w:t>
      </w:r>
      <w:r w:rsidRPr="007E48BF">
        <w:rPr>
          <w:rFonts w:ascii="Calibri" w:eastAsia="Calibri" w:hAnsi="Calibri"/>
          <w:szCs w:val="22"/>
          <w:lang w:eastAsia="en-US"/>
        </w:rPr>
        <w:t>as direcciones de los lugares de fabricación y almacenamiento del producto tapizado</w:t>
      </w:r>
      <w:r>
        <w:rPr>
          <w:rFonts w:ascii="Calibri" w:eastAsia="Calibri" w:hAnsi="Calibri"/>
          <w:szCs w:val="22"/>
          <w:lang w:eastAsia="en-US"/>
        </w:rPr>
        <w:t>;</w:t>
      </w:r>
      <w:r w:rsidRPr="007E48BF">
        <w:rPr>
          <w:rFonts w:ascii="Calibri" w:eastAsia="Calibri" w:hAnsi="Calibri"/>
          <w:szCs w:val="22"/>
          <w:lang w:eastAsia="en-US"/>
        </w:rPr>
        <w:t xml:space="preserve"> la fecha en que el producto se constituyó en su forma definitiva</w:t>
      </w:r>
      <w:r>
        <w:rPr>
          <w:rFonts w:ascii="Calibri" w:eastAsia="Calibri" w:hAnsi="Calibri"/>
          <w:szCs w:val="22"/>
          <w:lang w:eastAsia="en-US"/>
        </w:rPr>
        <w:t>;</w:t>
      </w:r>
      <w:r w:rsidRPr="007E48BF">
        <w:rPr>
          <w:rFonts w:ascii="Calibri" w:eastAsia="Calibri" w:hAnsi="Calibri"/>
          <w:szCs w:val="22"/>
          <w:lang w:eastAsia="en-US"/>
        </w:rPr>
        <w:t xml:space="preserve"> </w:t>
      </w:r>
      <w:r>
        <w:rPr>
          <w:rFonts w:ascii="Calibri" w:eastAsia="Calibri" w:hAnsi="Calibri"/>
          <w:szCs w:val="22"/>
          <w:lang w:eastAsia="en-US"/>
        </w:rPr>
        <w:t>e</w:t>
      </w:r>
      <w:r w:rsidRPr="007E48BF">
        <w:rPr>
          <w:rFonts w:ascii="Calibri" w:eastAsia="Calibri" w:hAnsi="Calibri"/>
          <w:szCs w:val="22"/>
          <w:lang w:eastAsia="en-US"/>
        </w:rPr>
        <w:t>l nombre, la dirección y los datos de contacto de cualquier persona que suministre materiales utilizados en el tapizado del producto y una lista de dichos materiales que incluya los números de lote u otros números de identificación</w:t>
      </w:r>
      <w:r>
        <w:rPr>
          <w:rFonts w:ascii="Calibri" w:eastAsia="Calibri" w:hAnsi="Calibri"/>
          <w:szCs w:val="22"/>
          <w:lang w:eastAsia="en-US"/>
        </w:rPr>
        <w:t>;</w:t>
      </w:r>
      <w:r w:rsidRPr="007E48BF">
        <w:rPr>
          <w:rFonts w:ascii="Calibri" w:eastAsia="Calibri" w:hAnsi="Calibri"/>
          <w:szCs w:val="22"/>
          <w:lang w:eastAsia="en-US"/>
        </w:rPr>
        <w:t xml:space="preserve"> </w:t>
      </w:r>
      <w:r>
        <w:rPr>
          <w:rFonts w:ascii="Calibri" w:eastAsia="Calibri" w:hAnsi="Calibri"/>
          <w:szCs w:val="22"/>
          <w:lang w:eastAsia="en-US"/>
        </w:rPr>
        <w:t>l</w:t>
      </w:r>
      <w:r w:rsidRPr="007E48BF">
        <w:rPr>
          <w:rFonts w:ascii="Calibri" w:eastAsia="Calibri" w:hAnsi="Calibri"/>
          <w:szCs w:val="22"/>
          <w:lang w:eastAsia="en-US"/>
        </w:rPr>
        <w:t>a identificación de los requisitos esenciales de seguridad pertinentes y los detalles de los procesos, comprobaciones y controles establecidos para garantizar que los productos los cumplen</w:t>
      </w:r>
      <w:r>
        <w:rPr>
          <w:rFonts w:ascii="Calibri" w:eastAsia="Calibri" w:hAnsi="Calibri"/>
          <w:szCs w:val="22"/>
          <w:lang w:eastAsia="en-US"/>
        </w:rPr>
        <w:t>; l</w:t>
      </w:r>
      <w:r w:rsidRPr="007E48BF">
        <w:rPr>
          <w:rFonts w:ascii="Calibri" w:eastAsia="Calibri" w:hAnsi="Calibri"/>
          <w:szCs w:val="22"/>
          <w:lang w:eastAsia="en-US"/>
        </w:rPr>
        <w:t xml:space="preserve">as normas y ensayos detallados que se llevaron a cabo para garantizar que el producto es conforme, y </w:t>
      </w:r>
      <w:r>
        <w:rPr>
          <w:rFonts w:ascii="Calibri" w:eastAsia="Calibri" w:hAnsi="Calibri"/>
          <w:szCs w:val="22"/>
          <w:lang w:eastAsia="en-US"/>
        </w:rPr>
        <w:t>e</w:t>
      </w:r>
      <w:r w:rsidRPr="007E48BF">
        <w:rPr>
          <w:rFonts w:ascii="Calibri" w:eastAsia="Calibri" w:hAnsi="Calibri"/>
          <w:szCs w:val="22"/>
          <w:lang w:eastAsia="en-US"/>
        </w:rPr>
        <w:t>n el caso de la producción en serie, la frecuencia de las pruebas detalladas periódicas</w:t>
      </w:r>
      <w:r>
        <w:rPr>
          <w:rFonts w:ascii="Calibri" w:eastAsia="Calibri" w:hAnsi="Calibri"/>
          <w:szCs w:val="22"/>
          <w:lang w:eastAsia="en-US"/>
        </w:rPr>
        <w:t>; d</w:t>
      </w:r>
      <w:r w:rsidRPr="007E48BF">
        <w:rPr>
          <w:rFonts w:ascii="Calibri" w:eastAsia="Calibri" w:hAnsi="Calibri"/>
          <w:szCs w:val="22"/>
          <w:lang w:eastAsia="en-US"/>
        </w:rPr>
        <w:t>emostración de que un laboratorio acreditado ha realizado las pruebas iniciales y las pruebas detalladas periódicas, incluidos el nombre, la dirección y los datos de contacto del laboratorio y los resultados de dichas pruebas</w:t>
      </w:r>
      <w:r>
        <w:rPr>
          <w:rFonts w:ascii="Calibri" w:eastAsia="Calibri" w:hAnsi="Calibri"/>
          <w:szCs w:val="22"/>
          <w:lang w:eastAsia="en-US"/>
        </w:rPr>
        <w:t>; f</w:t>
      </w:r>
      <w:r w:rsidRPr="007E48BF">
        <w:rPr>
          <w:rFonts w:ascii="Calibri" w:eastAsia="Calibri" w:hAnsi="Calibri"/>
          <w:szCs w:val="22"/>
          <w:lang w:eastAsia="en-US"/>
        </w:rPr>
        <w:t>otografías del producto en el momento de las pruebas</w:t>
      </w:r>
      <w:r w:rsidR="00783C83">
        <w:rPr>
          <w:rFonts w:ascii="Calibri" w:eastAsia="Calibri" w:hAnsi="Calibri"/>
          <w:szCs w:val="22"/>
          <w:lang w:eastAsia="en-US"/>
        </w:rPr>
        <w:t>. E</w:t>
      </w:r>
      <w:r w:rsidRPr="007E48BF">
        <w:rPr>
          <w:rFonts w:ascii="Calibri" w:eastAsia="Calibri" w:hAnsi="Calibri"/>
          <w:szCs w:val="22"/>
          <w:lang w:eastAsia="en-US"/>
        </w:rPr>
        <w:t xml:space="preserve">n el caso de productos sujetos a rediseño o reevaluación, el expediente técnico debe reflejar todas las versiones del producto, </w:t>
      </w:r>
      <w:r w:rsidR="00783C83">
        <w:rPr>
          <w:rFonts w:ascii="Calibri" w:eastAsia="Calibri" w:hAnsi="Calibri"/>
          <w:szCs w:val="22"/>
          <w:lang w:eastAsia="en-US"/>
        </w:rPr>
        <w:t xml:space="preserve">Si el </w:t>
      </w:r>
      <w:r w:rsidRPr="007E48BF">
        <w:rPr>
          <w:rFonts w:ascii="Calibri" w:eastAsia="Calibri" w:hAnsi="Calibri"/>
          <w:szCs w:val="22"/>
          <w:lang w:eastAsia="en-US"/>
        </w:rPr>
        <w:t>producto cont</w:t>
      </w:r>
      <w:r w:rsidR="00783C83">
        <w:rPr>
          <w:rFonts w:ascii="Calibri" w:eastAsia="Calibri" w:hAnsi="Calibri"/>
          <w:szCs w:val="22"/>
          <w:lang w:eastAsia="en-US"/>
        </w:rPr>
        <w:t>iene</w:t>
      </w:r>
      <w:r w:rsidRPr="007E48BF">
        <w:rPr>
          <w:rFonts w:ascii="Calibri" w:eastAsia="Calibri" w:hAnsi="Calibri"/>
          <w:szCs w:val="22"/>
          <w:lang w:eastAsia="en-US"/>
        </w:rPr>
        <w:t xml:space="preserve"> retardantes químicos de llama, una lista de dichos retardantes y sus fichas de datos de seguridad asociadas y pruebas de que sólo se incluyen en cumplimiento de la Jerarquía de tecnologías de retardantes de llama. </w:t>
      </w:r>
    </w:p>
    <w:p w14:paraId="3306C209" w14:textId="77777777" w:rsidR="007E48BF" w:rsidRPr="007E48BF" w:rsidRDefault="007E48BF" w:rsidP="007E48BF">
      <w:pPr>
        <w:jc w:val="both"/>
        <w:rPr>
          <w:rFonts w:ascii="Calibri" w:eastAsia="Calibri" w:hAnsi="Calibri"/>
          <w:szCs w:val="22"/>
          <w:lang w:eastAsia="en-US"/>
        </w:rPr>
      </w:pPr>
    </w:p>
    <w:p w14:paraId="32FBF5AD" w14:textId="52CAA082" w:rsidR="00B57481" w:rsidRDefault="00783C83" w:rsidP="00783C83">
      <w:pPr>
        <w:jc w:val="both"/>
        <w:rPr>
          <w:rFonts w:ascii="Calibri" w:eastAsia="Calibri" w:hAnsi="Calibri"/>
          <w:szCs w:val="22"/>
          <w:lang w:eastAsia="en-US"/>
        </w:rPr>
      </w:pPr>
      <w:r>
        <w:rPr>
          <w:rFonts w:ascii="Calibri" w:eastAsia="Calibri" w:hAnsi="Calibri"/>
          <w:szCs w:val="22"/>
          <w:u w:val="single"/>
          <w:lang w:eastAsia="en-US"/>
        </w:rPr>
        <w:t>Autoridad de vigilancia de mercado</w:t>
      </w:r>
      <w:r w:rsidRPr="00783C83">
        <w:rPr>
          <w:rFonts w:ascii="Calibri" w:eastAsia="Calibri" w:hAnsi="Calibri"/>
          <w:szCs w:val="22"/>
          <w:lang w:eastAsia="en-US"/>
        </w:rPr>
        <w:t>. Las autoridades locales de Inglaterra, Escocia y Gales, así como los funcionarios de salud medioambiental de los consejos de distrito de Irlanda del Norte, se encargarán de hacer cumplir la normativa. La Office for Product Safety and Standards es el organismo regulador nacional. Las autoridades competentes dispondrán de un plazo de 12 meses a partir de la comisión de la infracción para incoar un procedimiento.</w:t>
      </w:r>
    </w:p>
    <w:p w14:paraId="42677138" w14:textId="77777777" w:rsidR="00783C83" w:rsidRDefault="00783C83" w:rsidP="00B57481">
      <w:pPr>
        <w:jc w:val="both"/>
        <w:rPr>
          <w:rFonts w:ascii="Calibri" w:eastAsia="Calibri" w:hAnsi="Calibri"/>
          <w:szCs w:val="22"/>
          <w:lang w:eastAsia="en-US"/>
        </w:rPr>
      </w:pPr>
    </w:p>
    <w:p w14:paraId="38A2D891" w14:textId="72C097CF" w:rsidR="00B57481" w:rsidRPr="00B57481" w:rsidRDefault="00B57481" w:rsidP="00A776E4">
      <w:pPr>
        <w:jc w:val="both"/>
        <w:rPr>
          <w:rFonts w:ascii="Calibri" w:eastAsia="Calibri" w:hAnsi="Calibri"/>
          <w:szCs w:val="22"/>
          <w:u w:val="single"/>
          <w:lang w:eastAsia="en-US"/>
        </w:rPr>
      </w:pPr>
      <w:r w:rsidRPr="00B57481">
        <w:rPr>
          <w:rFonts w:ascii="Calibri" w:eastAsia="Calibri" w:hAnsi="Calibri"/>
          <w:szCs w:val="22"/>
          <w:u w:val="single"/>
          <w:lang w:eastAsia="en-US"/>
        </w:rPr>
        <w:t>Participación en la encuesta</w:t>
      </w:r>
    </w:p>
    <w:p w14:paraId="6E52DFC8" w14:textId="77777777" w:rsidR="00B57481" w:rsidRDefault="00B57481" w:rsidP="00A776E4">
      <w:pPr>
        <w:jc w:val="both"/>
        <w:rPr>
          <w:rFonts w:ascii="Calibri" w:eastAsia="Calibri" w:hAnsi="Calibri"/>
          <w:szCs w:val="22"/>
          <w:lang w:eastAsia="en-US"/>
        </w:rPr>
      </w:pPr>
    </w:p>
    <w:p w14:paraId="34125A6F" w14:textId="22001CBE" w:rsidR="00B57481" w:rsidRDefault="00B57481" w:rsidP="00A776E4">
      <w:pPr>
        <w:jc w:val="both"/>
        <w:rPr>
          <w:rFonts w:ascii="Calibri" w:eastAsia="Calibri" w:hAnsi="Calibri"/>
          <w:szCs w:val="22"/>
          <w:lang w:eastAsia="en-US"/>
        </w:rPr>
      </w:pPr>
      <w:r>
        <w:rPr>
          <w:rFonts w:ascii="Calibri" w:eastAsia="Calibri" w:hAnsi="Calibri"/>
          <w:szCs w:val="22"/>
          <w:lang w:eastAsia="en-US"/>
        </w:rPr>
        <w:t xml:space="preserve">Los operadores pueden </w:t>
      </w:r>
      <w:r w:rsidR="004666ED">
        <w:rPr>
          <w:rFonts w:ascii="Calibri" w:eastAsia="Calibri" w:hAnsi="Calibri"/>
          <w:szCs w:val="22"/>
          <w:lang w:eastAsia="en-US"/>
        </w:rPr>
        <w:t xml:space="preserve">responder online a través de este enlace: </w:t>
      </w:r>
      <w:r>
        <w:rPr>
          <w:rFonts w:ascii="Calibri" w:eastAsia="Calibri" w:hAnsi="Calibri"/>
          <w:szCs w:val="22"/>
          <w:lang w:eastAsia="en-US"/>
        </w:rPr>
        <w:t xml:space="preserve"> </w:t>
      </w:r>
      <w:hyperlink r:id="rId10" w:history="1">
        <w:r w:rsidR="00783C83" w:rsidRPr="001A2443">
          <w:rPr>
            <w:rStyle w:val="Hipervnculo"/>
            <w:rFonts w:ascii="Calibri" w:eastAsia="Calibri" w:hAnsi="Calibri"/>
            <w:szCs w:val="22"/>
            <w:lang w:eastAsia="en-US"/>
          </w:rPr>
          <w:t>https://ditresearch.eu.qualtrics.com/jfe/form</w:t>
        </w:r>
        <w:r w:rsidR="00783C83" w:rsidRPr="001A2443">
          <w:rPr>
            <w:rStyle w:val="Hipervnculo"/>
            <w:rFonts w:ascii="Calibri" w:eastAsia="Calibri" w:hAnsi="Calibri"/>
            <w:szCs w:val="22"/>
            <w:lang w:eastAsia="en-US"/>
          </w:rPr>
          <w:t>/</w:t>
        </w:r>
        <w:r w:rsidR="00783C83" w:rsidRPr="001A2443">
          <w:rPr>
            <w:rStyle w:val="Hipervnculo"/>
            <w:rFonts w:ascii="Calibri" w:eastAsia="Calibri" w:hAnsi="Calibri"/>
            <w:szCs w:val="22"/>
            <w:lang w:eastAsia="en-US"/>
          </w:rPr>
          <w:t>SV_8vuoekhxeOKf04C</w:t>
        </w:r>
      </w:hyperlink>
    </w:p>
    <w:p w14:paraId="04AD026E" w14:textId="77777777" w:rsidR="00783C83" w:rsidRDefault="00783C83" w:rsidP="00A776E4">
      <w:pPr>
        <w:jc w:val="both"/>
        <w:rPr>
          <w:rFonts w:ascii="Calibri" w:eastAsia="Calibri" w:hAnsi="Calibri"/>
          <w:szCs w:val="22"/>
          <w:lang w:eastAsia="en-US"/>
        </w:rPr>
      </w:pPr>
    </w:p>
    <w:p w14:paraId="7EE590C5" w14:textId="52DCA8BD" w:rsidR="004666ED" w:rsidRPr="00330892" w:rsidRDefault="004666ED" w:rsidP="00A776E4">
      <w:pPr>
        <w:jc w:val="both"/>
        <w:rPr>
          <w:rFonts w:ascii="Calibri" w:eastAsia="Calibri" w:hAnsi="Calibri"/>
          <w:szCs w:val="22"/>
          <w:lang w:eastAsia="en-US"/>
        </w:rPr>
      </w:pPr>
      <w:r>
        <w:rPr>
          <w:rFonts w:ascii="Calibri" w:eastAsia="Calibri" w:hAnsi="Calibri"/>
          <w:szCs w:val="22"/>
          <w:lang w:eastAsia="en-US"/>
        </w:rPr>
        <w:t xml:space="preserve">Londres, </w:t>
      </w:r>
      <w:r w:rsidR="00783C83">
        <w:rPr>
          <w:rFonts w:ascii="Calibri" w:eastAsia="Calibri" w:hAnsi="Calibri"/>
          <w:szCs w:val="22"/>
          <w:lang w:eastAsia="en-US"/>
        </w:rPr>
        <w:t>11</w:t>
      </w:r>
      <w:r w:rsidR="00B57481">
        <w:rPr>
          <w:rFonts w:ascii="Calibri" w:eastAsia="Calibri" w:hAnsi="Calibri"/>
          <w:szCs w:val="22"/>
          <w:lang w:eastAsia="en-US"/>
        </w:rPr>
        <w:t xml:space="preserve"> de octubre </w:t>
      </w:r>
      <w:r>
        <w:rPr>
          <w:rFonts w:ascii="Calibri" w:eastAsia="Calibri" w:hAnsi="Calibri"/>
          <w:szCs w:val="22"/>
          <w:lang w:eastAsia="en-US"/>
        </w:rPr>
        <w:t>de 2023.</w:t>
      </w:r>
    </w:p>
    <w:sectPr w:rsidR="004666ED" w:rsidRPr="00330892" w:rsidSect="00584033">
      <w:headerReference w:type="default" r:id="rId11"/>
      <w:footerReference w:type="default" r:id="rId12"/>
      <w:pgSz w:w="11906" w:h="16838" w:code="9"/>
      <w:pgMar w:top="851" w:right="1701" w:bottom="851" w:left="170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2605" w14:textId="77777777" w:rsidR="00167D47" w:rsidRDefault="00167D47">
      <w:r>
        <w:separator/>
      </w:r>
    </w:p>
  </w:endnote>
  <w:endnote w:type="continuationSeparator" w:id="0">
    <w:p w14:paraId="26D0DCB7" w14:textId="77777777" w:rsidR="00167D47" w:rsidRDefault="0016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0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2331"/>
    </w:tblGrid>
    <w:tr w:rsidR="00BD4336" w14:paraId="5E844C21" w14:textId="77777777" w:rsidTr="00465398">
      <w:trPr>
        <w:trHeight w:val="70"/>
      </w:trPr>
      <w:tc>
        <w:tcPr>
          <w:tcW w:w="7378" w:type="dxa"/>
        </w:tcPr>
        <w:p w14:paraId="2D2F705F" w14:textId="77777777" w:rsidR="00BD4336" w:rsidRDefault="00BD4336" w:rsidP="00BD4336">
          <w:pPr>
            <w:pStyle w:val="Encabezado"/>
            <w:tabs>
              <w:tab w:val="clear" w:pos="4252"/>
              <w:tab w:val="clear" w:pos="8504"/>
            </w:tabs>
            <w:rPr>
              <w:sz w:val="20"/>
              <w:szCs w:val="22"/>
            </w:rPr>
          </w:pPr>
          <w:r>
            <w:rPr>
              <w:sz w:val="20"/>
              <w:szCs w:val="22"/>
            </w:rPr>
            <w:t xml:space="preserve">             </w:t>
          </w:r>
        </w:p>
        <w:p w14:paraId="0FF6C8D4" w14:textId="77777777" w:rsidR="00BD4336" w:rsidRPr="00163EC4" w:rsidRDefault="00BD4336" w:rsidP="00BD4336">
          <w:pPr>
            <w:pStyle w:val="Encabezado"/>
            <w:tabs>
              <w:tab w:val="clear" w:pos="4252"/>
              <w:tab w:val="clear" w:pos="8504"/>
            </w:tabs>
            <w:rPr>
              <w:sz w:val="20"/>
              <w:szCs w:val="22"/>
            </w:rPr>
          </w:pPr>
          <w:r w:rsidRPr="00124244">
            <w:rPr>
              <w:sz w:val="20"/>
              <w:szCs w:val="22"/>
            </w:rPr>
            <w:t xml:space="preserve">Página </w:t>
          </w:r>
          <w:r w:rsidRPr="00124244">
            <w:rPr>
              <w:b/>
              <w:bCs/>
              <w:sz w:val="20"/>
              <w:szCs w:val="22"/>
            </w:rPr>
            <w:fldChar w:fldCharType="begin"/>
          </w:r>
          <w:r w:rsidRPr="00124244">
            <w:rPr>
              <w:b/>
              <w:bCs/>
              <w:sz w:val="20"/>
              <w:szCs w:val="22"/>
            </w:rPr>
            <w:instrText>PAGE  \* Arabic  \* MERGEFORMAT</w:instrText>
          </w:r>
          <w:r w:rsidRPr="00124244">
            <w:rPr>
              <w:b/>
              <w:bCs/>
              <w:sz w:val="20"/>
              <w:szCs w:val="22"/>
            </w:rPr>
            <w:fldChar w:fldCharType="separate"/>
          </w:r>
          <w:r w:rsidRPr="00124244">
            <w:rPr>
              <w:b/>
              <w:bCs/>
              <w:noProof/>
              <w:sz w:val="20"/>
              <w:szCs w:val="22"/>
            </w:rPr>
            <w:t>8</w:t>
          </w:r>
          <w:r w:rsidRPr="00124244">
            <w:rPr>
              <w:b/>
              <w:bCs/>
              <w:sz w:val="20"/>
              <w:szCs w:val="22"/>
            </w:rPr>
            <w:fldChar w:fldCharType="end"/>
          </w:r>
          <w:r w:rsidRPr="00124244">
            <w:rPr>
              <w:sz w:val="20"/>
              <w:szCs w:val="22"/>
            </w:rPr>
            <w:t xml:space="preserve"> de </w:t>
          </w:r>
          <w:r w:rsidRPr="00124244">
            <w:rPr>
              <w:b/>
              <w:bCs/>
              <w:sz w:val="20"/>
              <w:szCs w:val="22"/>
            </w:rPr>
            <w:fldChar w:fldCharType="begin"/>
          </w:r>
          <w:r w:rsidRPr="00124244">
            <w:rPr>
              <w:b/>
              <w:bCs/>
              <w:sz w:val="20"/>
              <w:szCs w:val="22"/>
            </w:rPr>
            <w:instrText>NUMPAGES  \* Arabic  \* MERGEFORMAT</w:instrText>
          </w:r>
          <w:r w:rsidRPr="00124244">
            <w:rPr>
              <w:b/>
              <w:bCs/>
              <w:sz w:val="20"/>
              <w:szCs w:val="22"/>
            </w:rPr>
            <w:fldChar w:fldCharType="separate"/>
          </w:r>
          <w:r w:rsidRPr="00124244">
            <w:rPr>
              <w:b/>
              <w:bCs/>
              <w:noProof/>
              <w:sz w:val="20"/>
              <w:szCs w:val="22"/>
            </w:rPr>
            <w:t>9</w:t>
          </w:r>
          <w:r w:rsidRPr="00124244">
            <w:rPr>
              <w:b/>
              <w:bCs/>
              <w:sz w:val="20"/>
              <w:szCs w:val="22"/>
            </w:rPr>
            <w:fldChar w:fldCharType="end"/>
          </w:r>
        </w:p>
      </w:tc>
      <w:tc>
        <w:tcPr>
          <w:tcW w:w="2331" w:type="dxa"/>
        </w:tcPr>
        <w:p w14:paraId="0983181A" w14:textId="77777777" w:rsidR="00BD4336" w:rsidRDefault="00BD4336" w:rsidP="00BD4336">
          <w:pPr>
            <w:rPr>
              <w:caps/>
              <w:noProof/>
              <w:sz w:val="16"/>
              <w:lang w:val="en-US"/>
            </w:rPr>
          </w:pPr>
          <w:r>
            <w:rPr>
              <w:caps/>
              <w:noProof/>
              <w:sz w:val="16"/>
              <w:lang w:val="en-US"/>
            </w:rPr>
            <w:t>125 OLD BROAD stREET</w:t>
          </w:r>
        </w:p>
        <w:p w14:paraId="054061EF" w14:textId="77777777" w:rsidR="00BD4336" w:rsidRDefault="00BD4336" w:rsidP="00BD4336">
          <w:pPr>
            <w:rPr>
              <w:caps/>
              <w:noProof/>
              <w:sz w:val="16"/>
              <w:lang w:val="en-US"/>
            </w:rPr>
          </w:pPr>
          <w:r>
            <w:rPr>
              <w:caps/>
              <w:noProof/>
              <w:sz w:val="16"/>
              <w:lang w:val="en-US"/>
            </w:rPr>
            <w:t xml:space="preserve">LONDRES  EC2N 1AR </w:t>
          </w:r>
        </w:p>
        <w:p w14:paraId="11F9C20D" w14:textId="77777777" w:rsidR="00BD4336" w:rsidRDefault="00BD4336" w:rsidP="00BD4336">
          <w:pPr>
            <w:rPr>
              <w:caps/>
              <w:noProof/>
              <w:sz w:val="16"/>
              <w:lang w:val="en-US"/>
            </w:rPr>
          </w:pPr>
          <w:r>
            <w:rPr>
              <w:caps/>
              <w:noProof/>
              <w:sz w:val="16"/>
              <w:lang w:val="en-US"/>
            </w:rPr>
            <w:t>Tel: +44 (0)20 7776 7730</w:t>
          </w:r>
        </w:p>
        <w:p w14:paraId="3596375A" w14:textId="77777777" w:rsidR="00BD4336" w:rsidRDefault="00BD4336" w:rsidP="00BD4336">
          <w:pPr>
            <w:pStyle w:val="Encabezado"/>
            <w:tabs>
              <w:tab w:val="clear" w:pos="4252"/>
              <w:tab w:val="clear" w:pos="8504"/>
            </w:tabs>
            <w:rPr>
              <w:caps/>
              <w:noProof/>
              <w:sz w:val="16"/>
              <w:lang w:val="en-US"/>
            </w:rPr>
          </w:pPr>
          <w:r>
            <w:rPr>
              <w:caps/>
              <w:noProof/>
              <w:sz w:val="16"/>
              <w:lang w:val="en-US"/>
            </w:rPr>
            <w:t>Fax: +44 (0)20 7256 9410</w:t>
          </w:r>
        </w:p>
        <w:p w14:paraId="5ED64E3C" w14:textId="77777777" w:rsidR="00BD4336" w:rsidRDefault="003F4557" w:rsidP="00BD4336">
          <w:pPr>
            <w:pStyle w:val="Encabezado"/>
            <w:tabs>
              <w:tab w:val="clear" w:pos="4252"/>
              <w:tab w:val="clear" w:pos="8504"/>
            </w:tabs>
          </w:pPr>
          <w:hyperlink r:id="rId1" w:history="1">
            <w:r w:rsidR="00BD4336" w:rsidRPr="00FE2333">
              <w:rPr>
                <w:rStyle w:val="Hipervnculo"/>
                <w:sz w:val="16"/>
                <w:szCs w:val="16"/>
              </w:rPr>
              <w:t>Londres@comercio.mineco.es</w:t>
            </w:r>
          </w:hyperlink>
        </w:p>
      </w:tc>
    </w:tr>
  </w:tbl>
  <w:p w14:paraId="6C284180" w14:textId="77777777" w:rsidR="00A26535" w:rsidRDefault="00A265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67B9" w14:textId="77777777" w:rsidR="00167D47" w:rsidRDefault="00167D47">
      <w:r>
        <w:separator/>
      </w:r>
    </w:p>
  </w:footnote>
  <w:footnote w:type="continuationSeparator" w:id="0">
    <w:p w14:paraId="58F6EA2E" w14:textId="77777777" w:rsidR="00167D47" w:rsidRDefault="0016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70" w:type="dxa"/>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8100"/>
      <w:gridCol w:w="3060"/>
    </w:tblGrid>
    <w:tr w:rsidR="00A26535" w14:paraId="3B5BC0CD" w14:textId="77777777">
      <w:trPr>
        <w:cantSplit/>
        <w:trHeight w:val="369"/>
      </w:trPr>
      <w:tc>
        <w:tcPr>
          <w:tcW w:w="8100" w:type="dxa"/>
          <w:vMerge w:val="restart"/>
        </w:tcPr>
        <w:p w14:paraId="66D4E049" w14:textId="77777777" w:rsidR="00A26535" w:rsidRDefault="000C04A2">
          <w:pPr>
            <w:pStyle w:val="TEXTOA"/>
            <w:spacing w:before="120" w:after="0"/>
            <w:ind w:left="-70" w:right="0"/>
            <w:rPr>
              <w:noProof/>
              <w:spacing w:val="0"/>
              <w:sz w:val="16"/>
            </w:rPr>
          </w:pPr>
          <w:r>
            <w:rPr>
              <w:noProof/>
              <w:sz w:val="18"/>
            </w:rPr>
            <w:drawing>
              <wp:inline distT="0" distB="0" distL="0" distR="0" wp14:anchorId="028FEEC7" wp14:editId="66C80C67">
                <wp:extent cx="1391920" cy="688975"/>
                <wp:effectExtent l="0" t="0" r="0" b="0"/>
                <wp:docPr id="1" name="Imagen 1" descr="escudowo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wor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88975"/>
                        </a:xfrm>
                        <a:prstGeom prst="rect">
                          <a:avLst/>
                        </a:prstGeom>
                        <a:noFill/>
                        <a:ln>
                          <a:noFill/>
                        </a:ln>
                      </pic:spPr>
                    </pic:pic>
                  </a:graphicData>
                </a:graphic>
              </wp:inline>
            </w:drawing>
          </w:r>
        </w:p>
        <w:p w14:paraId="0FAD50F3" w14:textId="77777777" w:rsidR="00A26535" w:rsidRDefault="00A26535"/>
      </w:tc>
      <w:tc>
        <w:tcPr>
          <w:tcW w:w="3060" w:type="dxa"/>
        </w:tcPr>
        <w:p w14:paraId="07073A7F" w14:textId="77777777" w:rsidR="00A26535" w:rsidRDefault="000C04A2">
          <w:r>
            <w:rPr>
              <w:noProof/>
            </w:rPr>
            <w:drawing>
              <wp:inline distT="0" distB="0" distL="0" distR="0" wp14:anchorId="2390A988" wp14:editId="7FC49647">
                <wp:extent cx="2272665" cy="102235"/>
                <wp:effectExtent l="0" t="0" r="0" b="0"/>
                <wp:docPr id="2" name="Imagen 2"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2665" cy="102235"/>
                        </a:xfrm>
                        <a:prstGeom prst="rect">
                          <a:avLst/>
                        </a:prstGeom>
                        <a:noFill/>
                        <a:ln>
                          <a:noFill/>
                        </a:ln>
                      </pic:spPr>
                    </pic:pic>
                  </a:graphicData>
                </a:graphic>
              </wp:inline>
            </w:drawing>
          </w:r>
        </w:p>
      </w:tc>
    </w:tr>
    <w:tr w:rsidR="00A26535" w14:paraId="52B17AC6" w14:textId="77777777">
      <w:trPr>
        <w:cantSplit/>
        <w:trHeight w:val="350"/>
      </w:trPr>
      <w:tc>
        <w:tcPr>
          <w:tcW w:w="8100" w:type="dxa"/>
          <w:vMerge/>
        </w:tcPr>
        <w:p w14:paraId="4A0047D2" w14:textId="77777777" w:rsidR="00A26535" w:rsidRDefault="00A26535"/>
      </w:tc>
      <w:tc>
        <w:tcPr>
          <w:tcW w:w="3060" w:type="dxa"/>
        </w:tcPr>
        <w:p w14:paraId="07D02AD8" w14:textId="77777777" w:rsidR="00A26535" w:rsidRDefault="00A26535">
          <w:pPr>
            <w:rPr>
              <w:sz w:val="16"/>
            </w:rPr>
          </w:pPr>
          <w:r>
            <w:rPr>
              <w:sz w:val="16"/>
            </w:rPr>
            <w:t>OFICINA ECONÓMICA Y</w:t>
          </w:r>
        </w:p>
        <w:p w14:paraId="580854FE" w14:textId="77777777" w:rsidR="00A26535" w:rsidRDefault="00A26535">
          <w:r>
            <w:rPr>
              <w:sz w:val="16"/>
            </w:rPr>
            <w:t>COMERCIAL DE ESPAÑA</w:t>
          </w:r>
        </w:p>
      </w:tc>
    </w:tr>
    <w:tr w:rsidR="00A26535" w14:paraId="5CF2FC95" w14:textId="77777777" w:rsidTr="00584033">
      <w:trPr>
        <w:cantSplit/>
        <w:trHeight w:val="401"/>
      </w:trPr>
      <w:tc>
        <w:tcPr>
          <w:tcW w:w="8100" w:type="dxa"/>
          <w:vMerge/>
        </w:tcPr>
        <w:p w14:paraId="7DBFEA59" w14:textId="77777777" w:rsidR="00A26535" w:rsidRDefault="00A26535"/>
      </w:tc>
      <w:tc>
        <w:tcPr>
          <w:tcW w:w="3060" w:type="dxa"/>
        </w:tcPr>
        <w:p w14:paraId="468E522A" w14:textId="77777777" w:rsidR="00A26535" w:rsidRDefault="00A26535">
          <w:pPr>
            <w:pStyle w:val="Encabezado"/>
            <w:tabs>
              <w:tab w:val="clear" w:pos="4252"/>
              <w:tab w:val="clear" w:pos="8504"/>
            </w:tabs>
            <w:spacing w:before="60"/>
          </w:pPr>
          <w:r>
            <w:t>LONDRES</w:t>
          </w:r>
        </w:p>
      </w:tc>
    </w:tr>
  </w:tbl>
  <w:p w14:paraId="70D0CC79" w14:textId="77777777" w:rsidR="00A26535" w:rsidRDefault="00A265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173C"/>
    <w:multiLevelType w:val="hybridMultilevel"/>
    <w:tmpl w:val="6E589F9A"/>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1B3A2639"/>
    <w:multiLevelType w:val="hybridMultilevel"/>
    <w:tmpl w:val="23AE5522"/>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1C6B6802"/>
    <w:multiLevelType w:val="hybridMultilevel"/>
    <w:tmpl w:val="DB643B66"/>
    <w:lvl w:ilvl="0" w:tplc="DAA6BEC0">
      <w:start w:val="1"/>
      <w:numFmt w:val="bullet"/>
      <w:lvlText w:val=""/>
      <w:lvlJc w:val="left"/>
      <w:pPr>
        <w:ind w:left="360" w:hanging="360"/>
      </w:pPr>
      <w:rPr>
        <w:rFonts w:ascii="Symbol" w:hAnsi="Symbol" w:hint="default"/>
        <w:b/>
        <w:i w:val="0"/>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1A2038"/>
    <w:multiLevelType w:val="hybridMultilevel"/>
    <w:tmpl w:val="7F16EC2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D351F97"/>
    <w:multiLevelType w:val="hybridMultilevel"/>
    <w:tmpl w:val="5CF8FDC2"/>
    <w:lvl w:ilvl="0" w:tplc="DBA26DA2">
      <w:start w:val="3"/>
      <w:numFmt w:val="decimal"/>
      <w:lvlText w:val="%1."/>
      <w:lvlJc w:val="left"/>
      <w:pPr>
        <w:ind w:left="360" w:hanging="360"/>
      </w:pPr>
      <w:rPr>
        <w:rFonts w:hint="default"/>
        <w:color w:val="FF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DDC3D0D"/>
    <w:multiLevelType w:val="hybridMultilevel"/>
    <w:tmpl w:val="9D4E2D96"/>
    <w:lvl w:ilvl="0" w:tplc="7EA4C6D4">
      <w:start w:val="1"/>
      <w:numFmt w:val="decimal"/>
      <w:lvlText w:val="%1."/>
      <w:lvlJc w:val="left"/>
      <w:pPr>
        <w:ind w:left="360" w:hanging="360"/>
      </w:pPr>
      <w:rPr>
        <w:rFonts w:hint="default"/>
        <w:u w:color="FFFFFF" w:themeColor="background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6776E62"/>
    <w:multiLevelType w:val="hybridMultilevel"/>
    <w:tmpl w:val="D458AA64"/>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26FE24AD"/>
    <w:multiLevelType w:val="hybridMultilevel"/>
    <w:tmpl w:val="5A26E628"/>
    <w:lvl w:ilvl="0" w:tplc="D83AA5FC">
      <w:start w:val="1"/>
      <w:numFmt w:val="bullet"/>
      <w:lvlText w:val=""/>
      <w:lvlJc w:val="left"/>
      <w:pPr>
        <w:ind w:left="720" w:hanging="360"/>
      </w:pPr>
      <w:rPr>
        <w:rFonts w:ascii="Symbol" w:hAnsi="Symbol" w:hint="default"/>
        <w:b/>
        <w:i w:val="0"/>
        <w:color w:val="C0504D" w:themeColor="accent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9E6EC3"/>
    <w:multiLevelType w:val="hybridMultilevel"/>
    <w:tmpl w:val="CB90E88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FDE247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A02013"/>
    <w:multiLevelType w:val="hybridMultilevel"/>
    <w:tmpl w:val="453A244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3B4C1332"/>
    <w:multiLevelType w:val="hybridMultilevel"/>
    <w:tmpl w:val="2DEC133A"/>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BEF00F1"/>
    <w:multiLevelType w:val="hybridMultilevel"/>
    <w:tmpl w:val="D17E7664"/>
    <w:lvl w:ilvl="0" w:tplc="0C0A000F">
      <w:start w:val="1"/>
      <w:numFmt w:val="decimal"/>
      <w:lvlText w:val="%1."/>
      <w:lvlJc w:val="left"/>
      <w:pPr>
        <w:ind w:left="-360" w:firstLine="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54702F"/>
    <w:multiLevelType w:val="hybridMultilevel"/>
    <w:tmpl w:val="4AB0DAB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EB202AA"/>
    <w:multiLevelType w:val="hybridMultilevel"/>
    <w:tmpl w:val="451A750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31964D9"/>
    <w:multiLevelType w:val="hybridMultilevel"/>
    <w:tmpl w:val="5CAA4E32"/>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53047A57"/>
    <w:multiLevelType w:val="hybridMultilevel"/>
    <w:tmpl w:val="3C5E4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266F4B"/>
    <w:multiLevelType w:val="hybridMultilevel"/>
    <w:tmpl w:val="A13E5B40"/>
    <w:lvl w:ilvl="0" w:tplc="D83AA5FC">
      <w:start w:val="1"/>
      <w:numFmt w:val="bullet"/>
      <w:lvlText w:val=""/>
      <w:lvlJc w:val="left"/>
      <w:pPr>
        <w:ind w:left="360" w:hanging="360"/>
      </w:pPr>
      <w:rPr>
        <w:rFonts w:ascii="Symbol" w:hAnsi="Symbol" w:hint="default"/>
        <w:b/>
        <w:i w:val="0"/>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A1E7003"/>
    <w:multiLevelType w:val="hybridMultilevel"/>
    <w:tmpl w:val="E5383788"/>
    <w:lvl w:ilvl="0" w:tplc="2D7E9858">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D12761"/>
    <w:multiLevelType w:val="hybridMultilevel"/>
    <w:tmpl w:val="C09CCE1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8501135"/>
    <w:multiLevelType w:val="multilevel"/>
    <w:tmpl w:val="B9D252C2"/>
    <w:lvl w:ilvl="0">
      <w:start w:val="1"/>
      <w:numFmt w:val="decimal"/>
      <w:lvlText w:val="%1."/>
      <w:lvlJc w:val="left"/>
      <w:pPr>
        <w:tabs>
          <w:tab w:val="num" w:pos="720"/>
        </w:tabs>
        <w:ind w:left="720" w:hanging="720"/>
      </w:pPr>
    </w:lvl>
    <w:lvl w:ilvl="1">
      <w:start w:val="1"/>
      <w:numFmt w:val="decimal"/>
      <w:pStyle w:val="NIVEL2NEG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4897E70"/>
    <w:multiLevelType w:val="hybridMultilevel"/>
    <w:tmpl w:val="7B84D8D4"/>
    <w:lvl w:ilvl="0" w:tplc="DAA6BEC0">
      <w:start w:val="1"/>
      <w:numFmt w:val="bullet"/>
      <w:lvlText w:val=""/>
      <w:lvlJc w:val="left"/>
      <w:pPr>
        <w:ind w:left="360" w:hanging="360"/>
      </w:pPr>
      <w:rPr>
        <w:rFonts w:ascii="Symbol" w:hAnsi="Symbol" w:hint="default"/>
        <w:b/>
        <w:i w:val="0"/>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886F7F"/>
    <w:multiLevelType w:val="hybridMultilevel"/>
    <w:tmpl w:val="9E34B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8120EBD"/>
    <w:multiLevelType w:val="hybridMultilevel"/>
    <w:tmpl w:val="4DFE5D5E"/>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4" w15:restartNumberingAfterBreak="0">
    <w:nsid w:val="7D404DFC"/>
    <w:multiLevelType w:val="hybridMultilevel"/>
    <w:tmpl w:val="0E481AD4"/>
    <w:lvl w:ilvl="0" w:tplc="2E86106E">
      <w:start w:val="1"/>
      <w:numFmt w:val="bullet"/>
      <w:lvlText w:val=""/>
      <w:lvlJc w:val="left"/>
      <w:pPr>
        <w:ind w:left="360" w:hanging="360"/>
      </w:pPr>
      <w:rPr>
        <w:rFonts w:ascii="Symbol" w:hAnsi="Symbol" w:hint="default"/>
        <w:color w:val="F79646"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F727D30"/>
    <w:multiLevelType w:val="hybridMultilevel"/>
    <w:tmpl w:val="E2883CF4"/>
    <w:lvl w:ilvl="0" w:tplc="AB486D8E">
      <w:start w:val="1"/>
      <w:numFmt w:val="lowerLetter"/>
      <w:lvlText w:val="%1)"/>
      <w:lvlJc w:val="left"/>
      <w:pPr>
        <w:ind w:left="360" w:hanging="360"/>
      </w:pPr>
    </w:lvl>
    <w:lvl w:ilvl="1" w:tplc="769820C6">
      <w:start w:val="1"/>
      <w:numFmt w:val="lowerLetter"/>
      <w:lvlText w:val="%2."/>
      <w:lvlJc w:val="left"/>
      <w:pPr>
        <w:ind w:left="1080" w:hanging="360"/>
      </w:pPr>
    </w:lvl>
    <w:lvl w:ilvl="2" w:tplc="93D27476">
      <w:start w:val="1"/>
      <w:numFmt w:val="lowerRoman"/>
      <w:lvlText w:val="%3."/>
      <w:lvlJc w:val="right"/>
      <w:pPr>
        <w:ind w:left="1800" w:hanging="180"/>
      </w:pPr>
    </w:lvl>
    <w:lvl w:ilvl="3" w:tplc="3984ED42">
      <w:start w:val="1"/>
      <w:numFmt w:val="decimal"/>
      <w:lvlText w:val="%4."/>
      <w:lvlJc w:val="left"/>
      <w:pPr>
        <w:ind w:left="2520" w:hanging="360"/>
      </w:pPr>
    </w:lvl>
    <w:lvl w:ilvl="4" w:tplc="7D6293D6">
      <w:start w:val="1"/>
      <w:numFmt w:val="lowerLetter"/>
      <w:lvlText w:val="%5."/>
      <w:lvlJc w:val="left"/>
      <w:pPr>
        <w:ind w:left="3240" w:hanging="360"/>
      </w:pPr>
    </w:lvl>
    <w:lvl w:ilvl="5" w:tplc="F1500F90">
      <w:start w:val="1"/>
      <w:numFmt w:val="lowerRoman"/>
      <w:lvlText w:val="%6."/>
      <w:lvlJc w:val="right"/>
      <w:pPr>
        <w:ind w:left="3960" w:hanging="180"/>
      </w:pPr>
    </w:lvl>
    <w:lvl w:ilvl="6" w:tplc="8508F098">
      <w:start w:val="1"/>
      <w:numFmt w:val="decimal"/>
      <w:lvlText w:val="%7."/>
      <w:lvlJc w:val="left"/>
      <w:pPr>
        <w:ind w:left="4680" w:hanging="360"/>
      </w:pPr>
    </w:lvl>
    <w:lvl w:ilvl="7" w:tplc="AEA4635C">
      <w:start w:val="1"/>
      <w:numFmt w:val="lowerLetter"/>
      <w:lvlText w:val="%8."/>
      <w:lvlJc w:val="left"/>
      <w:pPr>
        <w:ind w:left="5400" w:hanging="360"/>
      </w:pPr>
    </w:lvl>
    <w:lvl w:ilvl="8" w:tplc="542234DC">
      <w:start w:val="1"/>
      <w:numFmt w:val="lowerRoman"/>
      <w:lvlText w:val="%9."/>
      <w:lvlJc w:val="right"/>
      <w:pPr>
        <w:ind w:left="6120" w:hanging="180"/>
      </w:pPr>
    </w:lvl>
  </w:abstractNum>
  <w:num w:numId="1" w16cid:durableId="1270118211">
    <w:abstractNumId w:val="20"/>
  </w:num>
  <w:num w:numId="2" w16cid:durableId="271786444">
    <w:abstractNumId w:val="8"/>
  </w:num>
  <w:num w:numId="3" w16cid:durableId="1750806961">
    <w:abstractNumId w:val="7"/>
  </w:num>
  <w:num w:numId="4" w16cid:durableId="729305427">
    <w:abstractNumId w:val="12"/>
  </w:num>
  <w:num w:numId="5" w16cid:durableId="1320227499">
    <w:abstractNumId w:val="18"/>
  </w:num>
  <w:num w:numId="6" w16cid:durableId="1557618383">
    <w:abstractNumId w:val="17"/>
  </w:num>
  <w:num w:numId="7" w16cid:durableId="595135711">
    <w:abstractNumId w:val="13"/>
  </w:num>
  <w:num w:numId="8" w16cid:durableId="805050223">
    <w:abstractNumId w:val="4"/>
  </w:num>
  <w:num w:numId="9" w16cid:durableId="1702172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20642">
    <w:abstractNumId w:val="15"/>
  </w:num>
  <w:num w:numId="11" w16cid:durableId="1052853833">
    <w:abstractNumId w:val="1"/>
  </w:num>
  <w:num w:numId="12" w16cid:durableId="2120681979">
    <w:abstractNumId w:val="6"/>
  </w:num>
  <w:num w:numId="13" w16cid:durableId="212272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046603">
    <w:abstractNumId w:val="14"/>
  </w:num>
  <w:num w:numId="15" w16cid:durableId="839662806">
    <w:abstractNumId w:val="22"/>
  </w:num>
  <w:num w:numId="16" w16cid:durableId="1416632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434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380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631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351082">
    <w:abstractNumId w:val="16"/>
  </w:num>
  <w:num w:numId="21" w16cid:durableId="2059012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3754932">
    <w:abstractNumId w:val="24"/>
  </w:num>
  <w:num w:numId="23" w16cid:durableId="734205435">
    <w:abstractNumId w:val="11"/>
  </w:num>
  <w:num w:numId="24" w16cid:durableId="212693051">
    <w:abstractNumId w:val="0"/>
  </w:num>
  <w:num w:numId="25" w16cid:durableId="1527596717">
    <w:abstractNumId w:val="2"/>
  </w:num>
  <w:num w:numId="26" w16cid:durableId="1155298896">
    <w:abstractNumId w:val="5"/>
  </w:num>
  <w:num w:numId="27" w16cid:durableId="18919601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47"/>
    <w:rsid w:val="00033029"/>
    <w:rsid w:val="00084D0C"/>
    <w:rsid w:val="00086FFC"/>
    <w:rsid w:val="000C04A2"/>
    <w:rsid w:val="000F68F6"/>
    <w:rsid w:val="001070A7"/>
    <w:rsid w:val="0016119B"/>
    <w:rsid w:val="00167D47"/>
    <w:rsid w:val="001879CF"/>
    <w:rsid w:val="001B48C2"/>
    <w:rsid w:val="001B5BE4"/>
    <w:rsid w:val="001B60D0"/>
    <w:rsid w:val="00206AEA"/>
    <w:rsid w:val="00230F4E"/>
    <w:rsid w:val="002315ED"/>
    <w:rsid w:val="0024324D"/>
    <w:rsid w:val="00254483"/>
    <w:rsid w:val="00267C07"/>
    <w:rsid w:val="002A2C1A"/>
    <w:rsid w:val="002F18C9"/>
    <w:rsid w:val="002F2D5F"/>
    <w:rsid w:val="00330892"/>
    <w:rsid w:val="00395CE8"/>
    <w:rsid w:val="003B5CBA"/>
    <w:rsid w:val="003D2E12"/>
    <w:rsid w:val="003F2006"/>
    <w:rsid w:val="00421062"/>
    <w:rsid w:val="00441149"/>
    <w:rsid w:val="004666ED"/>
    <w:rsid w:val="00491811"/>
    <w:rsid w:val="00496D7F"/>
    <w:rsid w:val="00507CA2"/>
    <w:rsid w:val="0053240A"/>
    <w:rsid w:val="00552909"/>
    <w:rsid w:val="005578A1"/>
    <w:rsid w:val="00562245"/>
    <w:rsid w:val="00584033"/>
    <w:rsid w:val="00616071"/>
    <w:rsid w:val="0063701A"/>
    <w:rsid w:val="00652370"/>
    <w:rsid w:val="00676C95"/>
    <w:rsid w:val="006812DE"/>
    <w:rsid w:val="006868F8"/>
    <w:rsid w:val="00693962"/>
    <w:rsid w:val="006A5722"/>
    <w:rsid w:val="006C1598"/>
    <w:rsid w:val="00732A76"/>
    <w:rsid w:val="00783C83"/>
    <w:rsid w:val="007D06E0"/>
    <w:rsid w:val="007E48BF"/>
    <w:rsid w:val="0080055C"/>
    <w:rsid w:val="00802CCA"/>
    <w:rsid w:val="00832C30"/>
    <w:rsid w:val="00851433"/>
    <w:rsid w:val="0087468E"/>
    <w:rsid w:val="00880ACA"/>
    <w:rsid w:val="008D4903"/>
    <w:rsid w:val="00937833"/>
    <w:rsid w:val="009816A8"/>
    <w:rsid w:val="00995E70"/>
    <w:rsid w:val="00A15E27"/>
    <w:rsid w:val="00A26535"/>
    <w:rsid w:val="00A54CF8"/>
    <w:rsid w:val="00A57E71"/>
    <w:rsid w:val="00A6635B"/>
    <w:rsid w:val="00A776E4"/>
    <w:rsid w:val="00AD3C4B"/>
    <w:rsid w:val="00B06620"/>
    <w:rsid w:val="00B44983"/>
    <w:rsid w:val="00B4765D"/>
    <w:rsid w:val="00B57481"/>
    <w:rsid w:val="00BD4336"/>
    <w:rsid w:val="00C36762"/>
    <w:rsid w:val="00C72969"/>
    <w:rsid w:val="00C7471D"/>
    <w:rsid w:val="00CA104D"/>
    <w:rsid w:val="00CB4E7E"/>
    <w:rsid w:val="00CC64FB"/>
    <w:rsid w:val="00CC6FFA"/>
    <w:rsid w:val="00CD406C"/>
    <w:rsid w:val="00CD7036"/>
    <w:rsid w:val="00D23BFE"/>
    <w:rsid w:val="00E11B8D"/>
    <w:rsid w:val="00E566FA"/>
    <w:rsid w:val="00E66F80"/>
    <w:rsid w:val="00E724F2"/>
    <w:rsid w:val="00E91216"/>
    <w:rsid w:val="00ED2E44"/>
    <w:rsid w:val="00EE79E0"/>
    <w:rsid w:val="00F0387C"/>
    <w:rsid w:val="00F075FE"/>
    <w:rsid w:val="00F256A8"/>
    <w:rsid w:val="00F8704A"/>
    <w:rsid w:val="00FB1EB3"/>
    <w:rsid w:val="00FE0FFB"/>
    <w:rsid w:val="00FF3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F0DDF4"/>
  <w15:docId w15:val="{8685AB44-FF4A-483E-BC2D-C9D330C8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semiHidden/>
    <w:unhideWhenUsed/>
    <w:qFormat/>
    <w:rsid w:val="00F038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
    <w:name w:val="TEXTO A"/>
    <w:basedOn w:val="Normal"/>
    <w:pPr>
      <w:spacing w:after="240"/>
      <w:ind w:right="-108"/>
    </w:pPr>
    <w:rPr>
      <w:spacing w:val="30"/>
      <w:szCs w:val="20"/>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TEXTOTABLA2">
    <w:name w:val="TEXTO TABLA 2"/>
    <w:basedOn w:val="Normal"/>
    <w:pPr>
      <w:ind w:left="180"/>
    </w:pPr>
    <w:rPr>
      <w:color w:val="000000"/>
      <w:spacing w:val="30"/>
      <w:sz w:val="18"/>
    </w:rPr>
  </w:style>
  <w:style w:type="paragraph" w:customStyle="1" w:styleId="NIVEL2NEGR">
    <w:name w:val="NIVEL 2 NEGR"/>
    <w:basedOn w:val="Normal"/>
    <w:pPr>
      <w:keepNext/>
      <w:numPr>
        <w:ilvl w:val="1"/>
        <w:numId w:val="1"/>
      </w:numPr>
      <w:tabs>
        <w:tab w:val="num" w:pos="910"/>
        <w:tab w:val="right" w:pos="9085"/>
      </w:tabs>
      <w:spacing w:before="300"/>
      <w:ind w:left="910" w:right="-11" w:hanging="544"/>
      <w:jc w:val="both"/>
    </w:pPr>
    <w:rPr>
      <w:b/>
      <w:spacing w:val="30"/>
    </w:rPr>
  </w:style>
  <w:style w:type="paragraph" w:customStyle="1" w:styleId="TEXTOTABLA3">
    <w:name w:val="TEXTO TABLA 3"/>
    <w:basedOn w:val="Ttulo1"/>
    <w:pPr>
      <w:spacing w:before="0" w:after="0"/>
      <w:ind w:right="124"/>
      <w:jc w:val="right"/>
    </w:pPr>
    <w:rPr>
      <w:rFonts w:ascii="Arial Narrow" w:hAnsi="Arial Narrow" w:cs="Times New Roman"/>
      <w:b w:val="0"/>
      <w:bCs w:val="0"/>
      <w:color w:val="000000"/>
      <w:spacing w:val="30"/>
      <w:kern w:val="0"/>
      <w:sz w:val="20"/>
      <w:szCs w:val="24"/>
    </w:rPr>
  </w:style>
  <w:style w:type="paragraph" w:styleId="Textocomentario">
    <w:name w:val="annotation text"/>
    <w:basedOn w:val="Normal"/>
    <w:semiHidden/>
    <w:rPr>
      <w:sz w:val="20"/>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0C0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4A2"/>
    <w:rPr>
      <w:rFonts w:ascii="Tahoma" w:hAnsi="Tahoma" w:cs="Tahoma"/>
      <w:sz w:val="16"/>
      <w:szCs w:val="16"/>
    </w:rPr>
  </w:style>
  <w:style w:type="paragraph" w:styleId="Textonotapie">
    <w:name w:val="footnote text"/>
    <w:basedOn w:val="Normal"/>
    <w:link w:val="TextonotapieCar"/>
    <w:uiPriority w:val="99"/>
    <w:semiHidden/>
    <w:unhideWhenUsed/>
    <w:rsid w:val="00395CE8"/>
    <w:rPr>
      <w:sz w:val="20"/>
      <w:szCs w:val="20"/>
    </w:rPr>
  </w:style>
  <w:style w:type="character" w:customStyle="1" w:styleId="TextonotapieCar">
    <w:name w:val="Texto nota pie Car"/>
    <w:basedOn w:val="Fuentedeprrafopredeter"/>
    <w:link w:val="Textonotapie"/>
    <w:uiPriority w:val="99"/>
    <w:semiHidden/>
    <w:rsid w:val="00395CE8"/>
    <w:rPr>
      <w:rFonts w:ascii="Arial Narrow" w:hAnsi="Arial Narrow"/>
    </w:rPr>
  </w:style>
  <w:style w:type="character" w:styleId="Refdenotaalpie">
    <w:name w:val="footnote reference"/>
    <w:basedOn w:val="Fuentedeprrafopredeter"/>
    <w:uiPriority w:val="99"/>
    <w:semiHidden/>
    <w:unhideWhenUsed/>
    <w:rsid w:val="00395CE8"/>
    <w:rPr>
      <w:vertAlign w:val="superscript"/>
    </w:rPr>
  </w:style>
  <w:style w:type="character" w:customStyle="1" w:styleId="Hipervnculo1">
    <w:name w:val="Hipervínculo1"/>
    <w:basedOn w:val="Fuentedeprrafopredeter"/>
    <w:uiPriority w:val="99"/>
    <w:unhideWhenUsed/>
    <w:rsid w:val="00395CE8"/>
    <w:rPr>
      <w:color w:val="0563C1"/>
      <w:u w:val="single"/>
    </w:rPr>
  </w:style>
  <w:style w:type="character" w:styleId="Hipervnculo">
    <w:name w:val="Hyperlink"/>
    <w:basedOn w:val="Fuentedeprrafopredeter"/>
    <w:uiPriority w:val="99"/>
    <w:unhideWhenUsed/>
    <w:rsid w:val="00395CE8"/>
    <w:rPr>
      <w:color w:val="0000FF" w:themeColor="hyperlink"/>
      <w:u w:val="single"/>
    </w:rPr>
  </w:style>
  <w:style w:type="paragraph" w:styleId="Prrafodelista">
    <w:name w:val="List Paragraph"/>
    <w:basedOn w:val="Normal"/>
    <w:uiPriority w:val="34"/>
    <w:qFormat/>
    <w:rsid w:val="00832C30"/>
    <w:pPr>
      <w:ind w:left="720"/>
      <w:contextualSpacing/>
    </w:pPr>
  </w:style>
  <w:style w:type="character" w:styleId="Mencinsinresolver">
    <w:name w:val="Unresolved Mention"/>
    <w:basedOn w:val="Fuentedeprrafopredeter"/>
    <w:uiPriority w:val="99"/>
    <w:semiHidden/>
    <w:unhideWhenUsed/>
    <w:rsid w:val="00C7471D"/>
    <w:rPr>
      <w:color w:val="605E5C"/>
      <w:shd w:val="clear" w:color="auto" w:fill="E1DFDD"/>
    </w:rPr>
  </w:style>
  <w:style w:type="character" w:styleId="Hipervnculovisitado">
    <w:name w:val="FollowedHyperlink"/>
    <w:basedOn w:val="Fuentedeprrafopredeter"/>
    <w:uiPriority w:val="99"/>
    <w:semiHidden/>
    <w:unhideWhenUsed/>
    <w:rsid w:val="009816A8"/>
    <w:rPr>
      <w:color w:val="800080" w:themeColor="followedHyperlink"/>
      <w:u w:val="single"/>
    </w:rPr>
  </w:style>
  <w:style w:type="table" w:styleId="Tablaconcuadrcula">
    <w:name w:val="Table Grid"/>
    <w:basedOn w:val="Tablanormal"/>
    <w:uiPriority w:val="39"/>
    <w:rsid w:val="009816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0387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392">
      <w:bodyDiv w:val="1"/>
      <w:marLeft w:val="0"/>
      <w:marRight w:val="0"/>
      <w:marTop w:val="0"/>
      <w:marBottom w:val="0"/>
      <w:divBdr>
        <w:top w:val="none" w:sz="0" w:space="0" w:color="auto"/>
        <w:left w:val="none" w:sz="0" w:space="0" w:color="auto"/>
        <w:bottom w:val="none" w:sz="0" w:space="0" w:color="auto"/>
        <w:right w:val="none" w:sz="0" w:space="0" w:color="auto"/>
      </w:divBdr>
    </w:div>
    <w:div w:id="106854960">
      <w:bodyDiv w:val="1"/>
      <w:marLeft w:val="0"/>
      <w:marRight w:val="0"/>
      <w:marTop w:val="0"/>
      <w:marBottom w:val="0"/>
      <w:divBdr>
        <w:top w:val="none" w:sz="0" w:space="0" w:color="auto"/>
        <w:left w:val="none" w:sz="0" w:space="0" w:color="auto"/>
        <w:bottom w:val="none" w:sz="0" w:space="0" w:color="auto"/>
        <w:right w:val="none" w:sz="0" w:space="0" w:color="auto"/>
      </w:divBdr>
    </w:div>
    <w:div w:id="156041319">
      <w:bodyDiv w:val="1"/>
      <w:marLeft w:val="0"/>
      <w:marRight w:val="0"/>
      <w:marTop w:val="0"/>
      <w:marBottom w:val="0"/>
      <w:divBdr>
        <w:top w:val="none" w:sz="0" w:space="0" w:color="auto"/>
        <w:left w:val="none" w:sz="0" w:space="0" w:color="auto"/>
        <w:bottom w:val="none" w:sz="0" w:space="0" w:color="auto"/>
        <w:right w:val="none" w:sz="0" w:space="0" w:color="auto"/>
      </w:divBdr>
    </w:div>
    <w:div w:id="247813174">
      <w:bodyDiv w:val="1"/>
      <w:marLeft w:val="0"/>
      <w:marRight w:val="0"/>
      <w:marTop w:val="0"/>
      <w:marBottom w:val="0"/>
      <w:divBdr>
        <w:top w:val="none" w:sz="0" w:space="0" w:color="auto"/>
        <w:left w:val="none" w:sz="0" w:space="0" w:color="auto"/>
        <w:bottom w:val="none" w:sz="0" w:space="0" w:color="auto"/>
        <w:right w:val="none" w:sz="0" w:space="0" w:color="auto"/>
      </w:divBdr>
    </w:div>
    <w:div w:id="372001309">
      <w:bodyDiv w:val="1"/>
      <w:marLeft w:val="0"/>
      <w:marRight w:val="0"/>
      <w:marTop w:val="0"/>
      <w:marBottom w:val="0"/>
      <w:divBdr>
        <w:top w:val="none" w:sz="0" w:space="0" w:color="auto"/>
        <w:left w:val="none" w:sz="0" w:space="0" w:color="auto"/>
        <w:bottom w:val="none" w:sz="0" w:space="0" w:color="auto"/>
        <w:right w:val="none" w:sz="0" w:space="0" w:color="auto"/>
      </w:divBdr>
    </w:div>
    <w:div w:id="623116510">
      <w:bodyDiv w:val="1"/>
      <w:marLeft w:val="0"/>
      <w:marRight w:val="0"/>
      <w:marTop w:val="0"/>
      <w:marBottom w:val="0"/>
      <w:divBdr>
        <w:top w:val="none" w:sz="0" w:space="0" w:color="auto"/>
        <w:left w:val="none" w:sz="0" w:space="0" w:color="auto"/>
        <w:bottom w:val="none" w:sz="0" w:space="0" w:color="auto"/>
        <w:right w:val="none" w:sz="0" w:space="0" w:color="auto"/>
      </w:divBdr>
    </w:div>
    <w:div w:id="712928960">
      <w:bodyDiv w:val="1"/>
      <w:marLeft w:val="0"/>
      <w:marRight w:val="0"/>
      <w:marTop w:val="0"/>
      <w:marBottom w:val="0"/>
      <w:divBdr>
        <w:top w:val="none" w:sz="0" w:space="0" w:color="auto"/>
        <w:left w:val="none" w:sz="0" w:space="0" w:color="auto"/>
        <w:bottom w:val="none" w:sz="0" w:space="0" w:color="auto"/>
        <w:right w:val="none" w:sz="0" w:space="0" w:color="auto"/>
      </w:divBdr>
    </w:div>
    <w:div w:id="914434628">
      <w:bodyDiv w:val="1"/>
      <w:marLeft w:val="0"/>
      <w:marRight w:val="0"/>
      <w:marTop w:val="0"/>
      <w:marBottom w:val="0"/>
      <w:divBdr>
        <w:top w:val="none" w:sz="0" w:space="0" w:color="auto"/>
        <w:left w:val="none" w:sz="0" w:space="0" w:color="auto"/>
        <w:bottom w:val="none" w:sz="0" w:space="0" w:color="auto"/>
        <w:right w:val="none" w:sz="0" w:space="0" w:color="auto"/>
      </w:divBdr>
    </w:div>
    <w:div w:id="1058095898">
      <w:bodyDiv w:val="1"/>
      <w:marLeft w:val="0"/>
      <w:marRight w:val="0"/>
      <w:marTop w:val="0"/>
      <w:marBottom w:val="0"/>
      <w:divBdr>
        <w:top w:val="none" w:sz="0" w:space="0" w:color="auto"/>
        <w:left w:val="none" w:sz="0" w:space="0" w:color="auto"/>
        <w:bottom w:val="none" w:sz="0" w:space="0" w:color="auto"/>
        <w:right w:val="none" w:sz="0" w:space="0" w:color="auto"/>
      </w:divBdr>
    </w:div>
    <w:div w:id="1305619422">
      <w:bodyDiv w:val="1"/>
      <w:marLeft w:val="0"/>
      <w:marRight w:val="0"/>
      <w:marTop w:val="0"/>
      <w:marBottom w:val="0"/>
      <w:divBdr>
        <w:top w:val="none" w:sz="0" w:space="0" w:color="auto"/>
        <w:left w:val="none" w:sz="0" w:space="0" w:color="auto"/>
        <w:bottom w:val="none" w:sz="0" w:space="0" w:color="auto"/>
        <w:right w:val="none" w:sz="0" w:space="0" w:color="auto"/>
      </w:divBdr>
    </w:div>
    <w:div w:id="1628512446">
      <w:bodyDiv w:val="1"/>
      <w:marLeft w:val="0"/>
      <w:marRight w:val="0"/>
      <w:marTop w:val="0"/>
      <w:marBottom w:val="0"/>
      <w:divBdr>
        <w:top w:val="none" w:sz="0" w:space="0" w:color="auto"/>
        <w:left w:val="none" w:sz="0" w:space="0" w:color="auto"/>
        <w:bottom w:val="none" w:sz="0" w:space="0" w:color="auto"/>
        <w:right w:val="none" w:sz="0" w:space="0" w:color="auto"/>
      </w:divBdr>
    </w:div>
    <w:div w:id="1763262934">
      <w:bodyDiv w:val="1"/>
      <w:marLeft w:val="0"/>
      <w:marRight w:val="0"/>
      <w:marTop w:val="0"/>
      <w:marBottom w:val="0"/>
      <w:divBdr>
        <w:top w:val="none" w:sz="0" w:space="0" w:color="auto"/>
        <w:left w:val="none" w:sz="0" w:space="0" w:color="auto"/>
        <w:bottom w:val="none" w:sz="0" w:space="0" w:color="auto"/>
        <w:right w:val="none" w:sz="0" w:space="0" w:color="auto"/>
      </w:divBdr>
    </w:div>
    <w:div w:id="18811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88/1324/contents/m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tresearch.eu.qualtrics.com/jfe/form/SV_8vuoekhxeOKf04C" TargetMode="External"/><Relationship Id="rId4" Type="http://schemas.openxmlformats.org/officeDocument/2006/relationships/settings" Target="settings.xml"/><Relationship Id="rId9" Type="http://schemas.openxmlformats.org/officeDocument/2006/relationships/hyperlink" Target="https://www.gov.uk/government/consultations/smarter-regulation-fire-safety-of-domestic-upholstered-furnitu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ondres@comercio.minec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LANTILLAS\CARTAS%20Y%20FAX\carta%20espa&#241;o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70B-83DF-43DE-8C99-3287C967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español.dotx</Template>
  <TotalTime>1</TotalTime>
  <Pages>3</Pages>
  <Words>1263</Words>
  <Characters>7232</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FAX</vt:lpstr>
    </vt:vector>
  </TitlesOfParts>
  <Company>i</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Ortega Ripoll, Rafael</dc:creator>
  <cp:lastModifiedBy>Ortega Ripoll, Rafael</cp:lastModifiedBy>
  <cp:revision>2</cp:revision>
  <cp:lastPrinted>2023-10-11T10:53:00Z</cp:lastPrinted>
  <dcterms:created xsi:type="dcterms:W3CDTF">2023-10-11T13:23:00Z</dcterms:created>
  <dcterms:modified xsi:type="dcterms:W3CDTF">2023-10-11T13:23:00Z</dcterms:modified>
</cp:coreProperties>
</file>